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4B0EC7" w:rsidRDefault="009E7D0C" w:rsidP="008F7B97">
      <w:pPr>
        <w:suppressAutoHyphens/>
        <w:jc w:val="center"/>
        <w:rPr>
          <w:rFonts w:ascii="Times New Roman" w:hAnsi="Times New Roman"/>
          <w:sz w:val="24"/>
        </w:rPr>
      </w:pPr>
      <w:bookmarkStart w:id="0" w:name="_Toc262568021"/>
      <w:bookmarkStart w:id="1" w:name="_Toc295829847"/>
      <w:r>
        <w:rPr>
          <w:rFonts w:ascii="Times New Roman" w:hAnsi="Times New Roman"/>
          <w:sz w:val="24"/>
        </w:rPr>
        <w:t>RO</w:t>
      </w:r>
    </w:p>
    <w:p w14:paraId="2704A83C" w14:textId="77777777" w:rsidR="009E7D0C" w:rsidRPr="004B0EC7" w:rsidRDefault="009E7D0C" w:rsidP="008F7B97">
      <w:pPr>
        <w:suppressAutoHyphens/>
        <w:jc w:val="center"/>
        <w:rPr>
          <w:rFonts w:ascii="Times New Roman" w:hAnsi="Times New Roman"/>
          <w:sz w:val="24"/>
        </w:rPr>
      </w:pPr>
    </w:p>
    <w:p w14:paraId="24333E7A" w14:textId="5D6FD9D5" w:rsidR="008D696E" w:rsidRPr="004B0EC7" w:rsidRDefault="008D696E" w:rsidP="008F7B97">
      <w:pPr>
        <w:suppressAutoHyphens/>
        <w:jc w:val="center"/>
        <w:rPr>
          <w:rFonts w:ascii="Times New Roman" w:hAnsi="Times New Roman"/>
          <w:sz w:val="24"/>
        </w:rPr>
      </w:pPr>
      <w:r>
        <w:rPr>
          <w:rFonts w:ascii="Times New Roman" w:hAnsi="Times New Roman"/>
          <w:sz w:val="24"/>
        </w:rPr>
        <w:t>ANEXA II</w:t>
      </w:r>
    </w:p>
    <w:p w14:paraId="37362007" w14:textId="6FB5EC15" w:rsidR="002648B0" w:rsidRPr="004B0EC7" w:rsidRDefault="008D696E" w:rsidP="008F7B97">
      <w:pPr>
        <w:suppressAutoHyphens/>
        <w:jc w:val="center"/>
        <w:rPr>
          <w:rFonts w:ascii="Times New Roman" w:hAnsi="Times New Roman"/>
          <w:sz w:val="24"/>
        </w:rPr>
      </w:pPr>
      <w:r>
        <w:rPr>
          <w:rFonts w:ascii="Times New Roman" w:hAnsi="Times New Roman"/>
          <w:sz w:val="24"/>
        </w:rPr>
        <w:t>„ANEXA II</w:t>
      </w:r>
    </w:p>
    <w:p w14:paraId="327777EC" w14:textId="77777777" w:rsidR="002648B0" w:rsidRPr="004B0EC7" w:rsidRDefault="00D11E4C" w:rsidP="008F7B97">
      <w:pPr>
        <w:suppressAutoHyphens/>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14:paraId="2C40683C" w14:textId="77777777" w:rsidR="00436204" w:rsidRPr="004B0EC7" w:rsidRDefault="00436204" w:rsidP="008F7B97">
      <w:pPr>
        <w:suppressAutoHyphens/>
        <w:jc w:val="center"/>
        <w:rPr>
          <w:rFonts w:ascii="Times New Roman" w:hAnsi="Times New Roman"/>
          <w:b/>
          <w:sz w:val="24"/>
          <w:lang w:eastAsia="de-DE"/>
        </w:rPr>
      </w:pPr>
    </w:p>
    <w:p w14:paraId="587AAF25" w14:textId="155D24EC" w:rsidR="00971D22" w:rsidRPr="004B0EC7" w:rsidRDefault="00971D22" w:rsidP="008F7B97">
      <w:pPr>
        <w:suppressAutoHyphens/>
        <w:rPr>
          <w:rFonts w:ascii="Times New Roman" w:hAnsi="Times New Roman"/>
          <w:sz w:val="24"/>
        </w:rPr>
      </w:pPr>
      <w:r>
        <w:rPr>
          <w:rFonts w:ascii="Times New Roman" w:hAnsi="Times New Roman"/>
          <w:sz w:val="24"/>
        </w:rPr>
        <w:t>(…)</w:t>
      </w:r>
    </w:p>
    <w:p w14:paraId="74494658" w14:textId="77777777" w:rsidR="002648B0" w:rsidRPr="004B0EC7" w:rsidRDefault="002648B0" w:rsidP="008F7B97">
      <w:pPr>
        <w:pStyle w:val="Heading2"/>
        <w:suppressAutoHyphens/>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PARTEA II: INSTRUCȚIUNI AFERENTE FORMULARELOR</w:t>
      </w:r>
      <w:bookmarkEnd w:id="3"/>
      <w:bookmarkEnd w:id="4"/>
      <w:bookmarkEnd w:id="5"/>
    </w:p>
    <w:p w14:paraId="42779579" w14:textId="77777777" w:rsidR="00971D22" w:rsidRPr="004B0EC7" w:rsidRDefault="00971D22" w:rsidP="008F7B97">
      <w:pPr>
        <w:suppressAutoHyphens/>
        <w:rPr>
          <w:rFonts w:ascii="Times New Roman" w:hAnsi="Times New Roman"/>
          <w:sz w:val="24"/>
        </w:rPr>
      </w:pPr>
      <w:bookmarkStart w:id="6" w:name="_Toc360188323"/>
      <w:bookmarkStart w:id="7" w:name="_Toc473560871"/>
      <w:bookmarkStart w:id="8" w:name="_Toc151714359"/>
      <w:r>
        <w:rPr>
          <w:rFonts w:ascii="Times New Roman" w:hAnsi="Times New Roman"/>
          <w:sz w:val="24"/>
        </w:rPr>
        <w:t>(…)</w:t>
      </w:r>
    </w:p>
    <w:p w14:paraId="73EBDC1C" w14:textId="77777777"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rFonts w:ascii="Times New Roman" w:hAnsi="Times New Roman"/>
          <w:sz w:val="24"/>
          <w:u w:val="none"/>
        </w:rPr>
        <w:t>5.</w:t>
      </w:r>
      <w:r>
        <w:rPr>
          <w:rFonts w:ascii="Times New Roman" w:hAnsi="Times New Roman"/>
          <w:sz w:val="24"/>
          <w:u w:val="none"/>
        </w:rPr>
        <w:tab/>
      </w:r>
      <w:r>
        <w:rPr>
          <w:rFonts w:ascii="Times New Roman" w:hAnsi="Times New Roman"/>
          <w:sz w:val="24"/>
        </w:rPr>
        <w:t>Formulare privind riscul de piață</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8F7B97">
      <w:pPr>
        <w:pStyle w:val="InstructionsText2"/>
        <w:numPr>
          <w:ilvl w:val="0"/>
          <w:numId w:val="0"/>
        </w:numPr>
        <w:suppressAutoHyphens/>
        <w:ind w:left="993"/>
      </w:pPr>
      <w:r w:rsidRPr="004B0EC7">
        <w:fldChar w:fldCharType="begin"/>
      </w:r>
      <w:r w:rsidRPr="004B0EC7">
        <w:instrText xml:space="preserve"> seq paragraphs </w:instrText>
      </w:r>
      <w:r w:rsidRPr="004B0EC7">
        <w:fldChar w:fldCharType="separate"/>
      </w:r>
      <w:r w:rsidRPr="004B0EC7">
        <w:t>158</w:t>
      </w:r>
      <w:r w:rsidRPr="004B0EC7">
        <w:fldChar w:fldCharType="end"/>
      </w:r>
      <w:r>
        <w:t>.</w:t>
      </w:r>
      <w:r>
        <w:tab/>
        <w:t xml:space="preserve"> Aceste instrucțiuni se referă la formularele prin care se raportează calcularea cerințelor de fonduri proprii în conformitate cu abordarea standardizată pentru riscul valutar (MKR SSA FX), riscul de marfă (MKR SSA COM), riscul de rată a dobânzii (MKR SSA TDI, MKR SSA SEC, MKR SSA CTP) și riscul de devalorizare a acțiunilor (MKR SSA EQU). În plus, în această parte sunt incluse și instrucțiuni pentru formularul de raportare a calculării cerințelor de fonduri proprii în conformitate cu abordarea bazată pe modele interne (MKR IM). </w:t>
      </w:r>
    </w:p>
    <w:p w14:paraId="43A205D1" w14:textId="37E67CF7" w:rsidR="000B0B09" w:rsidRPr="004B0EC7" w:rsidRDefault="008F3052" w:rsidP="008F7B97">
      <w:pPr>
        <w:pStyle w:val="InstructionsText2"/>
        <w:numPr>
          <w:ilvl w:val="0"/>
          <w:numId w:val="0"/>
        </w:numPr>
        <w:suppressAutoHyphens/>
        <w:ind w:left="993"/>
      </w:pPr>
      <w:r w:rsidRPr="004B0EC7">
        <w:fldChar w:fldCharType="begin"/>
      </w:r>
      <w:r w:rsidRPr="004B0EC7">
        <w:instrText>seq paragraphs</w:instrText>
      </w:r>
      <w:r w:rsidRPr="004B0EC7">
        <w:fldChar w:fldCharType="separate"/>
      </w:r>
      <w:r w:rsidR="00771068" w:rsidRPr="004B0EC7">
        <w:t>159</w:t>
      </w:r>
      <w:r w:rsidRPr="004B0EC7">
        <w:fldChar w:fldCharType="end"/>
      </w:r>
      <w:r>
        <w:t>.</w:t>
      </w:r>
      <w:r>
        <w:tab/>
        <w:t xml:space="preserve"> Riscul de poziție pe un instrument de datorie sau titlu de capital tranzacționat (sau pe un instrument derivat pe un instrument de datorie sau titlu de capital) se divide în două componente pentru a calcula capitalul impus în legătură cu acest risc. Prima componentă este componenta de risc specific – respectiv riscul de modificare a prețului instrumentului în cauză ca urmare a unor factori legați de emitentul acestuia sau, în cazul unui instrument financiar derivat, de emitentul instrumentului-suport. A doua componentă acoperă riscul general – respectiv riscul de modificare a prețului instrumentului ca urmare a unei modificări a ratelor dobânzii (în cazul unui instrument de datorie sau al unui instrument financiar derivat pe un instrument de datorie tranzacționat) sau ca urmare a unei variații generale a pieței titlurilor de capital care nu este legată de niciun atribut specific al titlurilor individuale (în cazul unui titlu de capital sau al unui instrument financiar derivat pe un titlu de capital). </w:t>
      </w:r>
      <w:bookmarkEnd w:id="16"/>
      <w:r>
        <w:t xml:space="preserve">Tratamentul general aplicat instrumentelor specifice și procedurilor de compensare poate fi găsit la articolele 326-333 din Regulamentul (UE) nr. 575/2013. </w:t>
      </w:r>
    </w:p>
    <w:p w14:paraId="39C5FEA4" w14:textId="34D5FC53"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rFonts w:ascii="Times New Roman" w:hAnsi="Times New Roman"/>
          <w:sz w:val="24"/>
          <w:u w:val="none"/>
        </w:rPr>
        <w:t>5.1.</w:t>
      </w:r>
      <w:r>
        <w:rPr>
          <w:rFonts w:ascii="Times New Roman" w:hAnsi="Times New Roman"/>
          <w:sz w:val="24"/>
          <w:u w:val="none"/>
        </w:rPr>
        <w:tab/>
      </w:r>
      <w:r>
        <w:rPr>
          <w:rFonts w:ascii="Times New Roman" w:hAnsi="Times New Roman"/>
          <w:sz w:val="24"/>
        </w:rPr>
        <w:t>C 18.01 – Riscul de piață: abordarea standardizată simplificată pentru riscurile de poziție aferente instrumentelor de datorie tranzacționate</w:t>
      </w:r>
      <w:bookmarkEnd w:id="17"/>
      <w:bookmarkEnd w:id="18"/>
      <w:bookmarkEnd w:id="19"/>
      <w:bookmarkEnd w:id="20"/>
      <w:bookmarkEnd w:id="21"/>
      <w:bookmarkEnd w:id="22"/>
      <w:r w:rsidR="008F7B97">
        <w:rPr>
          <w:rFonts w:ascii="Times New Roman" w:hAnsi="Times New Roman"/>
          <w:sz w:val="24"/>
        </w:rPr>
        <w:t xml:space="preserve"> </w:t>
      </w:r>
      <w:r>
        <w:rPr>
          <w:rFonts w:ascii="Times New Roman" w:hAnsi="Times New Roman"/>
          <w:sz w:val="24"/>
        </w:rPr>
        <w:t>(MKR SSA TDI)</w:t>
      </w:r>
      <w:bookmarkEnd w:id="23"/>
      <w:bookmarkEnd w:id="24"/>
    </w:p>
    <w:p w14:paraId="7BC699A3" w14:textId="77777777"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rFonts w:ascii="Times New Roman" w:hAnsi="Times New Roman"/>
          <w:sz w:val="24"/>
          <w:u w:val="none"/>
        </w:rPr>
        <w:t>5.1.1.</w:t>
      </w:r>
      <w:r>
        <w:rPr>
          <w:rFonts w:ascii="Times New Roman" w:hAnsi="Times New Roman"/>
          <w:sz w:val="24"/>
          <w:u w:val="none"/>
        </w:rPr>
        <w:tab/>
      </w:r>
      <w:r>
        <w:rPr>
          <w:rFonts w:ascii="Times New Roman" w:hAnsi="Times New Roman"/>
          <w:sz w:val="24"/>
        </w:rPr>
        <w:t>Observații generale</w:t>
      </w:r>
      <w:bookmarkEnd w:id="25"/>
      <w:bookmarkEnd w:id="26"/>
      <w:bookmarkEnd w:id="27"/>
      <w:bookmarkEnd w:id="28"/>
      <w:bookmarkEnd w:id="29"/>
      <w:bookmarkEnd w:id="30"/>
      <w:bookmarkEnd w:id="31"/>
    </w:p>
    <w:p w14:paraId="0D010E09" w14:textId="091C822F" w:rsidR="000B0B09" w:rsidRPr="004B0EC7" w:rsidRDefault="008F3052" w:rsidP="008F7B97">
      <w:pPr>
        <w:pStyle w:val="InstructionsText2"/>
        <w:numPr>
          <w:ilvl w:val="0"/>
          <w:numId w:val="0"/>
        </w:numPr>
        <w:suppressAutoHyphens/>
        <w:ind w:left="993"/>
      </w:pPr>
      <w:r w:rsidRPr="004B0EC7">
        <w:fldChar w:fldCharType="begin"/>
      </w:r>
      <w:r w:rsidRPr="004B0EC7">
        <w:instrText>seq paragraphs</w:instrText>
      </w:r>
      <w:r w:rsidRPr="004B0EC7">
        <w:fldChar w:fldCharType="separate"/>
      </w:r>
      <w:r w:rsidR="00771068" w:rsidRPr="004B0EC7">
        <w:t>160</w:t>
      </w:r>
      <w:r w:rsidRPr="004B0EC7">
        <w:fldChar w:fldCharType="end"/>
      </w:r>
      <w:r>
        <w:t>.</w:t>
      </w:r>
      <w:r>
        <w:tab/>
        <w:t xml:space="preserve"> Acest formular reflectă pozițiile și cerințele de fonduri proprii pentru riscul de poziție aferent instrumentelor de datorie tranzacționate conform abordării standardizate [articolul 325 alineatul (2) litera (a) din Regulamentul (UE) nr. 575/2013]. Diferitele riscuri și metode disponibile în temeiul Regulamentului (UE) nr. 575/2013 sunt prezentate pe rânduri. Riscul specific asociat expunerilor incluse în MKR SSA SEC și MKR SSA CTP trebuie raportat numai în formularul </w:t>
      </w:r>
      <w:r>
        <w:lastRenderedPageBreak/>
        <w:t>Total al MKR SSA TDI. Cerințele de fonduri proprii raportate în formularele respective sunt transferate în celula {0325;0060} (securitizări), respectiv în celula {0330;0060} (CTP).</w:t>
      </w:r>
    </w:p>
    <w:p w14:paraId="7C8420A5" w14:textId="7A817DE2" w:rsidR="000B0B09" w:rsidRPr="004B0EC7" w:rsidRDefault="008F3052" w:rsidP="008F7B97">
      <w:pPr>
        <w:pStyle w:val="InstructionsText2"/>
        <w:numPr>
          <w:ilvl w:val="0"/>
          <w:numId w:val="0"/>
        </w:numPr>
        <w:suppressAutoHyphens/>
        <w:ind w:left="993"/>
      </w:pPr>
      <w:r w:rsidRPr="004B0EC7">
        <w:fldChar w:fldCharType="begin"/>
      </w:r>
      <w:r w:rsidRPr="004B0EC7">
        <w:instrText>seq paragraphs</w:instrText>
      </w:r>
      <w:r w:rsidRPr="004B0EC7">
        <w:fldChar w:fldCharType="separate"/>
      </w:r>
      <w:r w:rsidR="00771068" w:rsidRPr="004B0EC7">
        <w:t>161</w:t>
      </w:r>
      <w:r w:rsidRPr="004B0EC7">
        <w:fldChar w:fldCharType="end"/>
      </w:r>
      <w:r>
        <w:t>.</w:t>
      </w:r>
      <w:r>
        <w:tab/>
        <w:t xml:space="preserve"> Formularul trebuie să fie completat separat pentru «Total», precum și pentru o listă prestabilită cuprinzând monedele următoare: </w:t>
      </w:r>
      <w:bookmarkStart w:id="32" w:name="OLE_LINK1"/>
      <w:r>
        <w:t>EUR, ALL, BGN, CZK, DKK, EGP, GBP, HUF, ISK, JPY, MKD, NOK, PLN, RON, RUB, RSD, SEK, CHF, TRY, UAH, USD</w:t>
      </w:r>
      <w:bookmarkEnd w:id="32"/>
      <w:r>
        <w:t xml:space="preserve">, precum și un formular rezidual care acoperă toate celelalte monede. </w:t>
      </w:r>
    </w:p>
    <w:p w14:paraId="73E54EAD" w14:textId="76F64ACC"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rFonts w:ascii="Times New Roman" w:hAnsi="Times New Roman"/>
          <w:sz w:val="24"/>
          <w:u w:val="none"/>
        </w:rPr>
        <w:t>5.1.2.</w:t>
      </w:r>
      <w:r>
        <w:rPr>
          <w:rFonts w:ascii="Times New Roman" w:hAnsi="Times New Roman"/>
          <w:sz w:val="24"/>
          <w:u w:val="none"/>
        </w:rPr>
        <w:tab/>
      </w:r>
      <w:r>
        <w:rPr>
          <w:rFonts w:ascii="Times New Roman" w:hAnsi="Times New Roman"/>
          <w:sz w:val="24"/>
        </w:rPr>
        <w:t>Instrucțiuni privind anumite poziții</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8F7B97">
            <w:pPr>
              <w:suppressAutoHyphens/>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4B0EC7" w14:paraId="2FB66B69" w14:textId="77777777" w:rsidTr="00672D2A">
        <w:tc>
          <w:tcPr>
            <w:tcW w:w="988" w:type="dxa"/>
          </w:tcPr>
          <w:p w14:paraId="3487AAF4" w14:textId="77777777" w:rsidR="000B0B09"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POZIȚIILE (LUNGI ȘI SCURTE)</w:t>
            </w:r>
          </w:p>
          <w:p w14:paraId="0C799784" w14:textId="63DC6E88" w:rsidR="000B0B09" w:rsidRPr="004B0EC7" w:rsidRDefault="000B0B09" w:rsidP="008F7B97">
            <w:pPr>
              <w:suppressAutoHyphens/>
              <w:rPr>
                <w:rFonts w:ascii="Times New Roman" w:hAnsi="Times New Roman"/>
                <w:sz w:val="24"/>
              </w:rPr>
            </w:pPr>
            <w:r>
              <w:rPr>
                <w:rFonts w:ascii="Times New Roman" w:hAnsi="Times New Roman"/>
                <w:sz w:val="24"/>
              </w:rPr>
              <w:t>Articolul 102 și articolul 105 alineatul (1) din Regulamentul (UE) nr. 575/2013. Acestea sunt poziții brute, necompensate cu instrumente, excluzând însă pozițiile aferente angajamentelor de preluare fermă subscrise sau subangajate de către terțe părți în conformitate cu articolul 345 alineatul (1) primul paragraf a doua teză din Regulamentul (UE) nr. 575/2013. În ceea ce privește distincția dintre pozițiile lungi și scurte, care se aplică și în cazul acestor poziții brute, a se vedea articolul 328 alineatul (2) din Regulamentul (UE) nr. 575/2013.</w:t>
            </w:r>
          </w:p>
        </w:tc>
      </w:tr>
      <w:tr w:rsidR="000B0B09" w:rsidRPr="004B0EC7" w14:paraId="05A2AFD3" w14:textId="77777777" w:rsidTr="00672D2A">
        <w:tc>
          <w:tcPr>
            <w:tcW w:w="988" w:type="dxa"/>
          </w:tcPr>
          <w:p w14:paraId="0443676D" w14:textId="77777777" w:rsidR="000B0B09"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NETE (LUNGI ȘI SCURTE)</w:t>
            </w:r>
          </w:p>
          <w:p w14:paraId="38649486" w14:textId="21B59DB4" w:rsidR="000B0B09" w:rsidRPr="004B0EC7" w:rsidRDefault="000B0B09" w:rsidP="008F7B97">
            <w:pPr>
              <w:suppressAutoHyphens/>
              <w:rPr>
                <w:rFonts w:ascii="Times New Roman" w:hAnsi="Times New Roman"/>
                <w:sz w:val="24"/>
              </w:rPr>
            </w:pPr>
            <w:r>
              <w:rPr>
                <w:rFonts w:ascii="Times New Roman" w:hAnsi="Times New Roman"/>
                <w:sz w:val="24"/>
              </w:rPr>
              <w:t>Articolele 327-329 și articolul 334 din Regulamentul (UE) nr. 575/2013. În ceea ce privește distincția dintre pozițiile lungi și scurte, a se vedea articolul 328 alineatul (2) din Regulamentul (UE) nr. 575/2013.</w:t>
            </w:r>
          </w:p>
        </w:tc>
      </w:tr>
      <w:tr w:rsidR="000B0B09" w:rsidRPr="004B0EC7" w14:paraId="4C7D46FF" w14:textId="77777777" w:rsidTr="00672D2A">
        <w:tc>
          <w:tcPr>
            <w:tcW w:w="988" w:type="dxa"/>
          </w:tcPr>
          <w:p w14:paraId="4D3FEEA5" w14:textId="77777777" w:rsidR="000B0B09"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w:t>
            </w:r>
          </w:p>
          <w:p w14:paraId="76B658E5" w14:textId="104F8165" w:rsidR="000B0B09" w:rsidRPr="004B0EC7" w:rsidRDefault="000B0B09" w:rsidP="008F7B97">
            <w:pPr>
              <w:suppressAutoHyphens/>
              <w:rPr>
                <w:rFonts w:ascii="Times New Roman" w:hAnsi="Times New Roman"/>
                <w:b/>
                <w:bCs/>
                <w:sz w:val="24"/>
                <w:u w:val="single"/>
              </w:rPr>
            </w:pPr>
            <w:r>
              <w:rPr>
                <w:rFonts w:ascii="Times New Roman" w:hAnsi="Times New Roman"/>
                <w:sz w:val="24"/>
              </w:rPr>
              <w:t>Pozițiile nete care, în conformitate cu diferitele abordări avute în vedere în partea a treia titlul IV capitolul 2 din Regulamentul (UE) nr. 575/2013, sunt supuse unei cerințe de capital.</w:t>
            </w:r>
          </w:p>
        </w:tc>
      </w:tr>
      <w:tr w:rsidR="000B0B09" w:rsidRPr="004B0EC7" w14:paraId="017C014C" w14:textId="77777777" w:rsidTr="00672D2A">
        <w:tc>
          <w:tcPr>
            <w:tcW w:w="988" w:type="dxa"/>
          </w:tcPr>
          <w:p w14:paraId="7D197D93" w14:textId="77777777" w:rsidR="000B0B09"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3706C532" w:rsidR="000B0B09" w:rsidRPr="004B0EC7" w:rsidRDefault="000B0B09" w:rsidP="008F7B97">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 ÎNAINTE DE APLICAREA FACTORILOR DE MULTIPLICARE</w:t>
            </w:r>
          </w:p>
          <w:p w14:paraId="74F1F61F" w14:textId="1A8933CC" w:rsidR="000B0B09" w:rsidRPr="004B0EC7" w:rsidRDefault="000B0B09" w:rsidP="008F7B97">
            <w:pPr>
              <w:suppressAutoHyphens/>
              <w:rPr>
                <w:rFonts w:ascii="Times New Roman" w:hAnsi="Times New Roman"/>
                <w:b/>
                <w:bCs/>
                <w:sz w:val="24"/>
                <w:u w:val="single"/>
              </w:rPr>
            </w:pPr>
            <w:r>
              <w:rPr>
                <w:rFonts w:ascii="Times New Roman" w:hAnsi="Times New Roman"/>
                <w:sz w:val="24"/>
              </w:rPr>
              <w:t>Cerința de fonduri proprii pentru orice poziție relevantă în conformitate cu partea a treia titlul IV capitolul 2 din Regulamentul (UE) nr. 575/2013, înainte de aplicarea factorilor de multiplicare prevăzuți la articolul 325 alineatul (2) litera (a) punctul (i) și litera (d) din regulamentul respectiv.</w:t>
            </w:r>
          </w:p>
        </w:tc>
      </w:tr>
      <w:tr w:rsidR="000B0B09" w:rsidRPr="004B0EC7" w14:paraId="56717AD1" w14:textId="77777777" w:rsidTr="00672D2A">
        <w:tc>
          <w:tcPr>
            <w:tcW w:w="988" w:type="dxa"/>
          </w:tcPr>
          <w:p w14:paraId="0D4A61CE" w14:textId="760D6E46" w:rsidR="000B0B09"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4B0EC7" w:rsidRDefault="000B0B09" w:rsidP="008F7B97">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14:paraId="2B71E9D1" w14:textId="77777777" w:rsidR="000C566F" w:rsidRPr="004B0EC7" w:rsidRDefault="000B0B09" w:rsidP="008F7B97">
            <w:pPr>
              <w:suppressAutoHyphens/>
              <w:rPr>
                <w:rFonts w:ascii="Times New Roman" w:hAnsi="Times New Roman"/>
                <w:sz w:val="24"/>
              </w:rPr>
            </w:pPr>
            <w:r>
              <w:rPr>
                <w:rFonts w:ascii="Times New Roman" w:hAnsi="Times New Roman"/>
                <w:sz w:val="24"/>
              </w:rPr>
              <w:t>Articolul 92 alineatul (4) litera (b) punctul (i) din Regulamentul (UE) nr. 575/2013.</w:t>
            </w:r>
          </w:p>
          <w:p w14:paraId="2C4B0E54" w14:textId="046410BB" w:rsidR="000B0B09" w:rsidRPr="004B0EC7" w:rsidRDefault="000B0B09" w:rsidP="008F7B97">
            <w:pPr>
              <w:suppressAutoHyphens/>
              <w:rPr>
                <w:rFonts w:ascii="Times New Roman" w:hAnsi="Times New Roman"/>
                <w:b/>
                <w:bCs/>
                <w:sz w:val="24"/>
                <w:u w:val="single"/>
              </w:rPr>
            </w:pPr>
            <w:r>
              <w:rPr>
                <w:rFonts w:ascii="Times New Roman" w:hAnsi="Times New Roman"/>
                <w:sz w:val="24"/>
              </w:rPr>
              <w:t xml:space="preserve">Rezultatul multiplicării cerinței de fonduri proprii cu 12,5 în conformitate cu articolul 92 alineatul (6) litera (b) din Regulamentul (UE) nr. 575/2013 și cu factorul de multiplicare aplicabil în conformitate cu articolul 325 alineatul (2) litera (a) punctul (i) și litera (d) din regulamentul respectiv. </w:t>
            </w:r>
          </w:p>
        </w:tc>
      </w:tr>
    </w:tbl>
    <w:p w14:paraId="5A8176A5"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8F7B97">
            <w:pPr>
              <w:suppressAutoHyphens/>
              <w:autoSpaceDE w:val="0"/>
              <w:autoSpaceDN w:val="0"/>
              <w:adjustRightInd w:val="0"/>
              <w:spacing w:after="0"/>
              <w:rPr>
                <w:rFonts w:ascii="Times New Roman" w:hAnsi="Times New Roman"/>
                <w:b/>
                <w:sz w:val="24"/>
              </w:rPr>
            </w:pPr>
            <w:r>
              <w:rPr>
                <w:rFonts w:ascii="Times New Roman" w:hAnsi="Times New Roman"/>
                <w:b/>
                <w:sz w:val="24"/>
              </w:rPr>
              <w:lastRenderedPageBreak/>
              <w:t>Rânduri</w:t>
            </w:r>
          </w:p>
        </w:tc>
      </w:tr>
      <w:tr w:rsidR="000B0B09" w:rsidRPr="004B0EC7" w14:paraId="278DCECA" w14:textId="77777777" w:rsidTr="00672D2A">
        <w:trPr>
          <w:trHeight w:val="1168"/>
        </w:trPr>
        <w:tc>
          <w:tcPr>
            <w:tcW w:w="987" w:type="dxa"/>
          </w:tcPr>
          <w:p w14:paraId="2275EBA9" w14:textId="77777777" w:rsidR="000B0B09"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DE DATORIE TRANZACȚIONATE DIN PORTOFOLIUL DE TRANZACȚIONARE</w:t>
            </w:r>
          </w:p>
          <w:p w14:paraId="12C841B7" w14:textId="0DE276AE" w:rsidR="000B0B09" w:rsidRPr="004B0EC7" w:rsidRDefault="000B0B09" w:rsidP="008F7B97">
            <w:pPr>
              <w:suppressAutoHyphens/>
              <w:rPr>
                <w:rFonts w:ascii="Times New Roman" w:hAnsi="Times New Roman"/>
                <w:sz w:val="24"/>
              </w:rPr>
            </w:pPr>
            <w:r>
              <w:rPr>
                <w:rFonts w:ascii="Times New Roman" w:hAnsi="Times New Roman"/>
                <w:sz w:val="24"/>
              </w:rPr>
              <w:t>Pozițiile pe instrumente de datorie tranzacționate din portofoliul de tranzacționare și cerințele de fonduri proprii pentru riscul de poziție corespunzătoare acestora în conformitate cu articolul 92 alineatul (4) litera (b) punctul (i) din Regulamentul (UE) nr. 575/2013 și cu partea a treia titlul IV capitolul 2 din Regulamentul (UE) nr. 575/2013 se raportează în funcție de categoria de risc, de scadență și de abordarea utilizată.</w:t>
            </w:r>
          </w:p>
        </w:tc>
      </w:tr>
      <w:tr w:rsidR="000B0B09" w:rsidRPr="004B0EC7" w14:paraId="2272E4A5" w14:textId="77777777" w:rsidTr="00672D2A">
        <w:tc>
          <w:tcPr>
            <w:tcW w:w="987" w:type="dxa"/>
          </w:tcPr>
          <w:p w14:paraId="0642F5E6" w14:textId="77777777" w:rsidR="000B0B09"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RISC GENERAL. </w:t>
            </w:r>
          </w:p>
        </w:tc>
      </w:tr>
      <w:tr w:rsidR="000B0B09" w:rsidRPr="004B0EC7" w14:paraId="55F30C33" w14:textId="77777777" w:rsidTr="00672D2A">
        <w:tc>
          <w:tcPr>
            <w:tcW w:w="987" w:type="dxa"/>
          </w:tcPr>
          <w:p w14:paraId="2CBA5F8A" w14:textId="77777777" w:rsidR="000B0B09"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Instrumente financiare derivate</w:t>
            </w:r>
          </w:p>
          <w:p w14:paraId="06C530F0" w14:textId="7A78F919" w:rsidR="000B0B09" w:rsidRPr="004B0EC7" w:rsidRDefault="000B0B09" w:rsidP="008F7B97">
            <w:pPr>
              <w:suppressAutoHyphens/>
              <w:rPr>
                <w:rFonts w:ascii="Times New Roman" w:hAnsi="Times New Roman"/>
                <w:b/>
                <w:bCs/>
                <w:sz w:val="24"/>
                <w:u w:val="single"/>
              </w:rPr>
            </w:pPr>
            <w:r>
              <w:rPr>
                <w:rFonts w:ascii="Times New Roman" w:hAnsi="Times New Roman"/>
                <w:sz w:val="24"/>
              </w:rPr>
              <w:t>Instrumentele financiare derivate incluse în calculul riscului de rată a dobânzii pentru pozițiile din portofoliul de tranzacționare, ținând cont de articolele 328-331 din Regulamentul (UE) nr. 575/2013, dacă este cazul.</w:t>
            </w:r>
          </w:p>
        </w:tc>
      </w:tr>
      <w:tr w:rsidR="000B0B09" w:rsidRPr="004B0EC7" w14:paraId="36851B46" w14:textId="77777777" w:rsidTr="00672D2A">
        <w:tc>
          <w:tcPr>
            <w:tcW w:w="987" w:type="dxa"/>
          </w:tcPr>
          <w:p w14:paraId="6827F663" w14:textId="77777777" w:rsidR="000B0B09"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Alte active și datorii</w:t>
            </w:r>
          </w:p>
          <w:p w14:paraId="665719C9" w14:textId="77777777" w:rsidR="000B0B09" w:rsidRPr="004B0EC7" w:rsidRDefault="000B0B09" w:rsidP="008F7B97">
            <w:pPr>
              <w:suppressAutoHyphens/>
              <w:rPr>
                <w:rFonts w:ascii="Times New Roman" w:hAnsi="Times New Roman"/>
                <w:b/>
                <w:bCs/>
                <w:sz w:val="24"/>
                <w:u w:val="single"/>
              </w:rPr>
            </w:pPr>
            <w:r>
              <w:rPr>
                <w:rFonts w:ascii="Times New Roman" w:hAnsi="Times New Roman"/>
                <w:sz w:val="24"/>
              </w:rPr>
              <w:t xml:space="preserve">Alte instrumente decât instrumentele financiare derivate incluse în calculul riscului de rată a dobânzii pentru pozițiile din portofoliul de tranzacționare. </w:t>
            </w:r>
          </w:p>
        </w:tc>
      </w:tr>
      <w:tr w:rsidR="000B0B09" w:rsidRPr="004B0EC7" w14:paraId="177EBA5C" w14:textId="77777777" w:rsidTr="00672D2A">
        <w:tc>
          <w:tcPr>
            <w:tcW w:w="987" w:type="dxa"/>
          </w:tcPr>
          <w:p w14:paraId="2B740B72" w14:textId="77777777" w:rsidR="000B0B09"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ABORDAREA PE BAZA SCADENȚEI</w:t>
            </w:r>
          </w:p>
          <w:p w14:paraId="644A7531" w14:textId="609558C7" w:rsidR="000B0B09" w:rsidRPr="004B0EC7" w:rsidRDefault="000B0B09" w:rsidP="008F7B97">
            <w:pPr>
              <w:suppressAutoHyphens/>
              <w:rPr>
                <w:rFonts w:ascii="Times New Roman" w:hAnsi="Times New Roman"/>
                <w:b/>
                <w:bCs/>
                <w:sz w:val="24"/>
                <w:u w:val="single"/>
              </w:rPr>
            </w:pPr>
            <w:r>
              <w:rPr>
                <w:rFonts w:ascii="Times New Roman" w:hAnsi="Times New Roman"/>
                <w:sz w:val="24"/>
              </w:rPr>
              <w:t>Pozițiile pe instrumente de datorie tranzacționate cărora li se aplică abordarea pe baza scadenței menționată la articolul 339 alineatele (1)-(8) din Regulamentul (UE) nr. 575/2013 și cerințele de fonduri proprii corespunzătoare calculate în conformitate cu articolul 339 alineatul (9) din Regulamentul (UE) nr. 575/2013. Poziția este defalcată pe zonele 1, 2 și 3, iar aceste zone sunt defalcate, la rândul lor, în funcție de scadența instrumentelor.</w:t>
            </w:r>
          </w:p>
        </w:tc>
      </w:tr>
      <w:tr w:rsidR="000B0B09" w:rsidRPr="004B0EC7" w14:paraId="79DAC997" w14:textId="77777777" w:rsidTr="00672D2A">
        <w:tc>
          <w:tcPr>
            <w:tcW w:w="987" w:type="dxa"/>
          </w:tcPr>
          <w:p w14:paraId="73C021ED" w14:textId="77777777" w:rsidR="000B0B09"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RISC GENERAL. ABORDAREA PE BAZA DURATEI</w:t>
            </w:r>
          </w:p>
          <w:p w14:paraId="08171DB1" w14:textId="1FFC6791" w:rsidR="000B0B09" w:rsidRPr="004B0EC7" w:rsidRDefault="000B0B09" w:rsidP="008F7B97">
            <w:pPr>
              <w:suppressAutoHyphens/>
              <w:rPr>
                <w:rFonts w:ascii="Times New Roman" w:hAnsi="Times New Roman"/>
                <w:b/>
                <w:bCs/>
                <w:sz w:val="24"/>
                <w:u w:val="single"/>
              </w:rPr>
            </w:pPr>
            <w:r>
              <w:rPr>
                <w:rFonts w:ascii="Times New Roman" w:hAnsi="Times New Roman"/>
                <w:sz w:val="24"/>
              </w:rPr>
              <w:t>Pozițiile pe instrumente de datorie tranzacționate cărora li se aplică abordarea pe baza duratei menționată la articolul 340 alineatele (1)-(6) din Regulamentul (UE) nr. 575/2013 și cerințele de fonduri proprii corespunzătoare calculate în conformitate cu articolul 340 alineatul (7) din Regulamentul (UE) nr. 575/2013. Poziția este defalcată pe zonele 1, 2 și 3.</w:t>
            </w:r>
          </w:p>
        </w:tc>
      </w:tr>
      <w:tr w:rsidR="000B0B09" w:rsidRPr="004B0EC7" w14:paraId="7DD483EC" w14:textId="77777777" w:rsidTr="00672D2A">
        <w:tc>
          <w:tcPr>
            <w:tcW w:w="987" w:type="dxa"/>
          </w:tcPr>
          <w:p w14:paraId="5974B232" w14:textId="77777777" w:rsidR="000B0B09"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 SPECIFIC</w:t>
            </w:r>
          </w:p>
          <w:p w14:paraId="29C6E3D0" w14:textId="77777777" w:rsidR="000B0B09" w:rsidRPr="004B0EC7" w:rsidRDefault="000B0B09" w:rsidP="008F7B97">
            <w:pPr>
              <w:suppressAutoHyphens/>
              <w:rPr>
                <w:rFonts w:ascii="Times New Roman" w:hAnsi="Times New Roman"/>
                <w:sz w:val="24"/>
              </w:rPr>
            </w:pPr>
            <w:r>
              <w:rPr>
                <w:rFonts w:ascii="Times New Roman" w:hAnsi="Times New Roman"/>
                <w:sz w:val="24"/>
              </w:rPr>
              <w:t xml:space="preserve">Suma cuantumurilor raportate pe rândurile 0251, 0325 și 0330. </w:t>
            </w:r>
          </w:p>
          <w:p w14:paraId="4E1E5CA2" w14:textId="0BF89FF6" w:rsidR="000B0B09" w:rsidRPr="004B0EC7" w:rsidRDefault="000B0B09" w:rsidP="008F7B97">
            <w:pPr>
              <w:suppressAutoHyphens/>
              <w:rPr>
                <w:rFonts w:ascii="Times New Roman" w:hAnsi="Times New Roman"/>
                <w:b/>
                <w:bCs/>
                <w:sz w:val="24"/>
                <w:u w:val="single"/>
              </w:rPr>
            </w:pPr>
            <w:r>
              <w:rPr>
                <w:rFonts w:ascii="Times New Roman" w:hAnsi="Times New Roman"/>
                <w:sz w:val="24"/>
              </w:rPr>
              <w:t>Pozițiile pe instrumente de datorie tranzacționate cărora li se aplică cerințele de capital pentru riscul specific și cerințele de capital corespunzătoare acestora în conformitate cu articolul 92 alineatul (4) litera (b), cu articolul 335, cu articolul 336 alineatele (1), (2) și (3) și cu articolele 337 și 338 din Regulamentul (UE) nr. 575/2013. A se ține cont, de asemenea, de articolul 327 alineatul (1) ultima teză din Regulamentul (UE) nr. 575/2013.</w:t>
            </w:r>
          </w:p>
        </w:tc>
      </w:tr>
      <w:tr w:rsidR="000B0B09" w:rsidRPr="004B0EC7" w14:paraId="6F8691E7" w14:textId="77777777" w:rsidTr="00672D2A">
        <w:tc>
          <w:tcPr>
            <w:tcW w:w="987" w:type="dxa"/>
          </w:tcPr>
          <w:p w14:paraId="5CD5E31A" w14:textId="77777777" w:rsidR="000B0B09"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fonduri proprii pentru instrumentele de datorie care nu sunt poziții din securitizare</w:t>
            </w:r>
          </w:p>
          <w:p w14:paraId="19437B35" w14:textId="77777777" w:rsidR="000B0B09" w:rsidRPr="004B0EC7" w:rsidRDefault="000B0B09" w:rsidP="008F7B97">
            <w:pPr>
              <w:suppressAutoHyphens/>
              <w:rPr>
                <w:rFonts w:ascii="Times New Roman" w:hAnsi="Times New Roman"/>
                <w:sz w:val="24"/>
              </w:rPr>
            </w:pPr>
            <w:r>
              <w:rPr>
                <w:rFonts w:ascii="Times New Roman" w:hAnsi="Times New Roman"/>
                <w:sz w:val="24"/>
              </w:rPr>
              <w:t>Suma cuantumurilor raportate pe rândurile 260-321.</w:t>
            </w:r>
          </w:p>
          <w:p w14:paraId="4CDA5DEB" w14:textId="3E49784D" w:rsidR="000B0B09" w:rsidRPr="004B0EC7" w:rsidRDefault="000B0B09" w:rsidP="008F7B97">
            <w:pPr>
              <w:suppressAutoHyphens/>
              <w:rPr>
                <w:rFonts w:ascii="Times New Roman" w:hAnsi="Times New Roman"/>
                <w:sz w:val="24"/>
              </w:rPr>
            </w:pPr>
            <w:r>
              <w:rPr>
                <w:rFonts w:ascii="Times New Roman" w:hAnsi="Times New Roman"/>
                <w:sz w:val="24"/>
              </w:rPr>
              <w:lastRenderedPageBreak/>
              <w:t xml:space="preserve">Cerința de fonduri proprii pentru instrumentele financiare derivate de credit de tipul «n-th to default» care nu beneficiază de un rating extern se calculează prin însumarea ponderilor de risc ale entităților de referință [articolul 332 alineatul (1) litera (e) din Regulamentul (UE) nr. 575/2013 și articolul 332 alineatul (1) al doilea paragraf din Regulamentul (UE) nr. 575/2013 – abordarea de tip </w:t>
            </w:r>
            <w:r>
              <w:rPr>
                <w:rFonts w:ascii="Times New Roman" w:hAnsi="Times New Roman"/>
                <w:i/>
                <w:iCs/>
                <w:sz w:val="24"/>
              </w:rPr>
              <w:t>look through</w:t>
            </w:r>
            <w:r>
              <w:rPr>
                <w:rFonts w:ascii="Times New Roman" w:hAnsi="Times New Roman"/>
                <w:sz w:val="24"/>
              </w:rPr>
              <w:t xml:space="preserve">]. Instrumentele financiare derivate de credit de tipul «n-th-to-default» care beneficiază de un rating extern [articolul 332 alineatul (1) al treilea paragraf din Regulamentul (UE) nr. 575/2013] trebuie raportate separat pe rândul 321. </w:t>
            </w:r>
          </w:p>
          <w:p w14:paraId="7051ED04" w14:textId="663FE04C" w:rsidR="000B0B09" w:rsidRPr="004B0EC7" w:rsidRDefault="000B0B09" w:rsidP="008F7B97">
            <w:pPr>
              <w:suppressAutoHyphens/>
              <w:rPr>
                <w:rFonts w:ascii="Times New Roman" w:hAnsi="Times New Roman"/>
                <w:sz w:val="24"/>
              </w:rPr>
            </w:pPr>
            <w:r>
              <w:rPr>
                <w:rFonts w:ascii="Times New Roman" w:hAnsi="Times New Roman"/>
                <w:sz w:val="24"/>
              </w:rPr>
              <w:t>Raportarea pozițiilor cărora li se aplică articolul 336 alineatul (3) din Regulamentul (UE) nr. 575/2013: Există un tratament special pentru obligațiunile din portofoliul bancar care îndeplinesc condițiile pentru o pondere de risc de 10</w:t>
            </w:r>
            <w:r>
              <w:t xml:space="preserve"> </w:t>
            </w:r>
            <w:r>
              <w:rPr>
                <w:rFonts w:ascii="Times New Roman" w:hAnsi="Times New Roman"/>
                <w:sz w:val="24"/>
              </w:rPr>
              <w:t>% în conformitate cu articolul 129 alineatul (3) din Regulamentul (UE) nr. 575/2013 (obligațiunile garantate). Cerințele specifice de fonduri proprii reprezintă jumătate din procentajul prevăzut pentru a doua categorie menționată în tabelul 1 de la articolul 336 din Regulamentul (UE) nr. 575/2013. Pozițiile respective trebuie alocate pe rândurile 0280-0300 în funcție de termenul rămas până la scadența finală.</w:t>
            </w:r>
          </w:p>
          <w:p w14:paraId="11FE9AD5" w14:textId="13EA9F09" w:rsidR="000B0B09" w:rsidRPr="004B0EC7" w:rsidRDefault="00F41508" w:rsidP="008F7B97">
            <w:pPr>
              <w:suppressAutoHyphens/>
              <w:rPr>
                <w:rFonts w:ascii="Times New Roman" w:hAnsi="Times New Roman"/>
                <w:b/>
                <w:bCs/>
                <w:sz w:val="24"/>
                <w:u w:val="single"/>
              </w:rPr>
            </w:pPr>
            <w:r>
              <w:rPr>
                <w:rFonts w:ascii="Times New Roman" w:hAnsi="Times New Roman"/>
                <w:sz w:val="24"/>
              </w:rPr>
              <w:t xml:space="preserve">În cazul în care riscul general al pozițiilor pe rata dobânzii este acoperit printr-un instrument financiar derivat de credit, se aplică articolele 346 și 347 din Regulamentul (UE) nr. 575/2013. </w:t>
            </w:r>
          </w:p>
        </w:tc>
      </w:tr>
      <w:tr w:rsidR="000B0B09" w:rsidRPr="004B0EC7" w14:paraId="3F2475A8" w14:textId="77777777" w:rsidTr="00672D2A">
        <w:tc>
          <w:tcPr>
            <w:tcW w:w="987" w:type="dxa"/>
          </w:tcPr>
          <w:p w14:paraId="1898316C" w14:textId="77777777" w:rsidR="000B0B09" w:rsidRPr="004B0EC7" w:rsidDel="00F27BD6"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fonduri proprii pentru instrumentele care sunt poziții din securitizare</w:t>
            </w:r>
          </w:p>
          <w:p w14:paraId="7BA68AB7" w14:textId="7771B388" w:rsidR="00722A10" w:rsidRPr="004B0EC7" w:rsidDel="00F27BD6" w:rsidRDefault="000B0B09" w:rsidP="008F7B97">
            <w:pPr>
              <w:suppressAutoHyphens/>
              <w:rPr>
                <w:rFonts w:ascii="Times New Roman" w:hAnsi="Times New Roman"/>
                <w:b/>
                <w:bCs/>
                <w:sz w:val="24"/>
                <w:u w:val="single"/>
              </w:rPr>
            </w:pPr>
            <w:r>
              <w:rPr>
                <w:rFonts w:ascii="Times New Roman" w:hAnsi="Times New Roman"/>
                <w:sz w:val="24"/>
              </w:rPr>
              <w:t>Cerințele de fonduri proprii totale raportate în coloana 0601 din formularul MKR SSA SEC. Cerințele de fonduri proprii totale respective se raportează numai la nivelul Total din formularul MKR SSA TDI.</w:t>
            </w:r>
          </w:p>
        </w:tc>
      </w:tr>
      <w:tr w:rsidR="000B0B09" w:rsidRPr="004B0EC7" w14:paraId="55688787" w14:textId="77777777" w:rsidTr="00672D2A">
        <w:tc>
          <w:tcPr>
            <w:tcW w:w="987" w:type="dxa"/>
          </w:tcPr>
          <w:p w14:paraId="74C28C83" w14:textId="77777777" w:rsidR="000B0B09" w:rsidRPr="004B0EC7" w:rsidDel="00F27BD6"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fonduri proprii pentru portofoliul de tranzacționare pe bază de corelație</w:t>
            </w:r>
          </w:p>
          <w:p w14:paraId="104F8330" w14:textId="55BA6B97" w:rsidR="00722A10" w:rsidRPr="004B0EC7" w:rsidDel="00F27BD6" w:rsidRDefault="000B0B09" w:rsidP="008F7B97">
            <w:pPr>
              <w:suppressAutoHyphens/>
              <w:rPr>
                <w:rFonts w:ascii="Times New Roman" w:hAnsi="Times New Roman"/>
                <w:b/>
                <w:bCs/>
                <w:sz w:val="24"/>
                <w:u w:val="single"/>
              </w:rPr>
            </w:pPr>
            <w:r>
              <w:rPr>
                <w:rFonts w:ascii="Times New Roman" w:hAnsi="Times New Roman"/>
                <w:sz w:val="24"/>
              </w:rPr>
              <w:t>Cerințele de fonduri proprii totale raportate în coloana 0450 din formularul MKR SSA CTP. Cerințele de fonduri proprii totale respective se raportează numai la nivelul Total din formularul MKR SSA TDI.</w:t>
            </w:r>
          </w:p>
        </w:tc>
      </w:tr>
      <w:tr w:rsidR="000B0B09" w:rsidRPr="004B0EC7" w14:paraId="230D0723" w14:textId="77777777" w:rsidTr="00672D2A">
        <w:tc>
          <w:tcPr>
            <w:tcW w:w="987" w:type="dxa"/>
          </w:tcPr>
          <w:p w14:paraId="26241DA3" w14:textId="77777777" w:rsidR="000B0B09"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4B0EC7" w:rsidRDefault="000B0B09" w:rsidP="008F7B97">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CERINȚE SUPLIMENTARE PENTRU OPȚIUNI (ALTE RISCURI DECÂT RISCUL DELTA) </w:t>
            </w:r>
          </w:p>
          <w:p w14:paraId="3B19069A" w14:textId="2AE3D272" w:rsidR="000B0B09" w:rsidRPr="004B0EC7" w:rsidRDefault="000B0B09" w:rsidP="008F7B97">
            <w:pPr>
              <w:suppressAutoHyphens/>
              <w:rPr>
                <w:rFonts w:ascii="Times New Roman" w:hAnsi="Times New Roman"/>
                <w:sz w:val="24"/>
              </w:rPr>
            </w:pPr>
            <w:r>
              <w:rPr>
                <w:rFonts w:ascii="Times New Roman" w:hAnsi="Times New Roman"/>
                <w:sz w:val="24"/>
              </w:rPr>
              <w:t>Articolul 329 alineatul (3) din Regulamentul (UE) nr. 575/2013.</w:t>
            </w:r>
          </w:p>
          <w:p w14:paraId="4A1F04EE" w14:textId="77777777" w:rsidR="000B0B09" w:rsidRPr="004B0EC7" w:rsidRDefault="000B0B09" w:rsidP="008F7B97">
            <w:pPr>
              <w:suppressAutoHyphens/>
              <w:rPr>
                <w:rFonts w:ascii="Times New Roman" w:hAnsi="Times New Roman"/>
                <w:bCs/>
                <w:sz w:val="24"/>
              </w:rPr>
            </w:pPr>
            <w:r>
              <w:rPr>
                <w:rFonts w:ascii="Times New Roman" w:hAnsi="Times New Roman"/>
                <w:sz w:val="24"/>
              </w:rPr>
              <w:t>Cerințele suplimentare pentru opțiuni legate de alte riscuri decât riscul delta se raportează defalcat în funcție de metoda utilizată pentru calcularea acestora.</w:t>
            </w:r>
          </w:p>
        </w:tc>
      </w:tr>
    </w:tbl>
    <w:p w14:paraId="45D79A0A" w14:textId="77777777" w:rsidR="000B0B09" w:rsidRPr="004B0EC7" w:rsidRDefault="000B0B09" w:rsidP="008F7B97">
      <w:pPr>
        <w:suppressAutoHyphens/>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rFonts w:ascii="Times New Roman" w:hAnsi="Times New Roman"/>
          <w:sz w:val="24"/>
          <w:u w:val="none"/>
        </w:rPr>
        <w:t>5.2.</w:t>
      </w:r>
      <w:r>
        <w:rPr>
          <w:rFonts w:ascii="Times New Roman" w:hAnsi="Times New Roman"/>
          <w:sz w:val="24"/>
          <w:u w:val="none"/>
        </w:rPr>
        <w:tab/>
      </w:r>
      <w:r>
        <w:rPr>
          <w:rFonts w:ascii="Times New Roman" w:hAnsi="Times New Roman"/>
          <w:sz w:val="24"/>
        </w:rPr>
        <w:t>C 19.01 – Riscul de piață: abordarea standardizată simplificată pentru riscul specific aferent securitizărilor (MKR SSA SEC)</w:t>
      </w:r>
      <w:bookmarkEnd w:id="40"/>
      <w:bookmarkEnd w:id="41"/>
      <w:bookmarkEnd w:id="42"/>
      <w:bookmarkEnd w:id="43"/>
      <w:bookmarkEnd w:id="44"/>
      <w:bookmarkEnd w:id="45"/>
      <w:bookmarkEnd w:id="46"/>
    </w:p>
    <w:p w14:paraId="77E74540" w14:textId="77777777"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rFonts w:ascii="Times New Roman" w:hAnsi="Times New Roman"/>
          <w:sz w:val="24"/>
          <w:u w:val="none"/>
        </w:rPr>
        <w:t>5.2.1.</w:t>
      </w:r>
      <w:r>
        <w:rPr>
          <w:rFonts w:ascii="Times New Roman" w:hAnsi="Times New Roman"/>
          <w:sz w:val="24"/>
          <w:u w:val="none"/>
        </w:rPr>
        <w:tab/>
      </w:r>
      <w:r>
        <w:rPr>
          <w:rFonts w:ascii="Times New Roman" w:hAnsi="Times New Roman"/>
          <w:sz w:val="24"/>
        </w:rPr>
        <w:t>Observații generale</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8F7B97">
      <w:pPr>
        <w:pStyle w:val="InstructionsText2"/>
        <w:numPr>
          <w:ilvl w:val="0"/>
          <w:numId w:val="0"/>
        </w:numPr>
        <w:suppressAutoHyphens/>
        <w:ind w:left="993"/>
      </w:pPr>
      <w:r w:rsidRPr="004B0EC7">
        <w:fldChar w:fldCharType="begin"/>
      </w:r>
      <w:r w:rsidRPr="004B0EC7">
        <w:instrText xml:space="preserve"> seq paragraphs </w:instrText>
      </w:r>
      <w:r w:rsidRPr="004B0EC7">
        <w:fldChar w:fldCharType="separate"/>
      </w:r>
      <w:r w:rsidRPr="004B0EC7">
        <w:t>162</w:t>
      </w:r>
      <w:r w:rsidRPr="004B0EC7">
        <w:fldChar w:fldCharType="end"/>
      </w:r>
      <w:r>
        <w:t>.</w:t>
      </w:r>
      <w:r>
        <w:tab/>
        <w:t xml:space="preserve"> Acest formular prevede furnizarea de informații cu privire la poziții (toate/nete și lungi/scurte) și la cerințele de fonduri proprii legate de acestea pentru componenta de risc specific a riscului de poziție aferent securitizărilor/resecuritizărilor deținute </w:t>
      </w:r>
      <w:r>
        <w:lastRenderedPageBreak/>
        <w:t xml:space="preserve">în portofoliul de tranzacționare (care nu sunt eligibile pentru portofoliul de tranzacționare pe bază de corelație) în conformitate cu abordarea standardizată. </w:t>
      </w:r>
    </w:p>
    <w:p w14:paraId="2729DF95" w14:textId="73D4DCFE" w:rsidR="00FC6275" w:rsidRPr="004B0EC7" w:rsidRDefault="008F3052" w:rsidP="008F7B97">
      <w:pPr>
        <w:pStyle w:val="InstructionsText2"/>
        <w:numPr>
          <w:ilvl w:val="0"/>
          <w:numId w:val="0"/>
        </w:numPr>
        <w:suppressAutoHyphens/>
        <w:ind w:left="993"/>
      </w:pPr>
      <w:r w:rsidRPr="004B0EC7">
        <w:fldChar w:fldCharType="begin"/>
      </w:r>
      <w:r w:rsidRPr="004B0EC7">
        <w:instrText>seq paragraphs</w:instrText>
      </w:r>
      <w:r w:rsidRPr="004B0EC7">
        <w:fldChar w:fldCharType="separate"/>
      </w:r>
      <w:r w:rsidR="00771068" w:rsidRPr="004B0EC7">
        <w:t>163</w:t>
      </w:r>
      <w:r w:rsidRPr="004B0EC7">
        <w:fldChar w:fldCharType="end"/>
      </w:r>
      <w:r>
        <w:t>.</w:t>
      </w:r>
      <w:r>
        <w:tab/>
        <w:t xml:space="preserve"> Formularul MKR SSA SEC prezintă cerința de fonduri proprii numai pentru riscul specific aferent pozițiilor din securitizare în conformitate cu articolul 335 din Regulamentul (UE) nr. 575/2013 coroborat cu articolul 337 din regulamentul respectiv. În cazul în care pozițiile din securitizare din portofoliul de tranzacționare sunt acoperite prin instrumente financiare derivate de credit, se aplică articolele 346 și 347 din Regulamentul (UE) nr. 575/2013. Există un singur formular pentru toate pozițiile din portofoliul de tranzacționare, indiferent de abordarea aplicată de instituții pentru a determina ponderea de risc pentru fiecare poziție în conformitate cu partea a treia titlul II capitolul 5 din Regulamentul (UE) nr. 575/2013. Cerințele de fonduri proprii pentru riscul general al acestor poziții se raportează în formularul MKR SSA TDI sau în formularul MKR IM.</w:t>
      </w:r>
    </w:p>
    <w:p w14:paraId="0C732A14" w14:textId="7B6E3BDD" w:rsidR="00FC6275" w:rsidRPr="004B0EC7" w:rsidRDefault="008F3052" w:rsidP="008F7B97">
      <w:pPr>
        <w:pStyle w:val="InstructionsText2"/>
        <w:numPr>
          <w:ilvl w:val="0"/>
          <w:numId w:val="0"/>
        </w:numPr>
        <w:suppressAutoHyphens/>
        <w:ind w:left="993"/>
      </w:pPr>
      <w:r w:rsidRPr="004B0EC7">
        <w:fldChar w:fldCharType="begin"/>
      </w:r>
      <w:r w:rsidRPr="004B0EC7">
        <w:instrText>seq paragraphs</w:instrText>
      </w:r>
      <w:r w:rsidRPr="004B0EC7">
        <w:fldChar w:fldCharType="separate"/>
      </w:r>
      <w:r w:rsidR="00771068" w:rsidRPr="004B0EC7">
        <w:t>164</w:t>
      </w:r>
      <w:r w:rsidRPr="004B0EC7">
        <w:fldChar w:fldCharType="end"/>
      </w:r>
      <w:r>
        <w:t>. Ca alternativă, pozițiile care primesc o pondere de risc de 1 250 % pot fi deduse din CET1 [a se vedea articolul 244 alineatul (1) litera (b), articolul 245 alineatul (1) litera (b) și articolul 253 din Regulamentul (UE) nr. 575/2013]. În acest caz, pozițiile respective trebuie raportate pe rândul 0460 din CA1.</w:t>
      </w:r>
    </w:p>
    <w:p w14:paraId="3921F7AA" w14:textId="56C18CF3"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60" w:name="_Toc151714491"/>
      <w:r>
        <w:rPr>
          <w:rFonts w:ascii="Times New Roman" w:hAnsi="Times New Roman"/>
          <w:sz w:val="24"/>
          <w:u w:val="none"/>
        </w:rPr>
        <w:t>5.2.2.</w:t>
      </w:r>
      <w:r>
        <w:rPr>
          <w:rFonts w:ascii="Times New Roman" w:hAnsi="Times New Roman"/>
          <w:sz w:val="24"/>
          <w:u w:val="none"/>
        </w:rPr>
        <w:tab/>
      </w:r>
      <w:r>
        <w:rPr>
          <w:rFonts w:ascii="Times New Roman" w:hAnsi="Times New Roman"/>
          <w:sz w:val="24"/>
        </w:rPr>
        <w:t>Instrucțiuni privind anumite poziții</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8F7B97">
            <w:pPr>
              <w:suppressAutoHyphens/>
              <w:autoSpaceDE w:val="0"/>
              <w:autoSpaceDN w:val="0"/>
              <w:adjustRightInd w:val="0"/>
              <w:spacing w:after="0"/>
              <w:rPr>
                <w:rFonts w:ascii="Times New Roman" w:hAnsi="Times New Roman"/>
                <w:b/>
                <w:sz w:val="24"/>
              </w:rPr>
            </w:pPr>
            <w:r>
              <w:rPr>
                <w:rFonts w:ascii="Times New Roman" w:hAnsi="Times New Roman"/>
                <w:b/>
                <w:sz w:val="24"/>
              </w:rPr>
              <w:t>Coloane</w:t>
            </w:r>
          </w:p>
        </w:tc>
      </w:tr>
      <w:tr w:rsidR="00C55547" w:rsidRPr="004B0EC7" w14:paraId="25DD94D3" w14:textId="77777777" w:rsidTr="000911FE">
        <w:tc>
          <w:tcPr>
            <w:tcW w:w="1413" w:type="dxa"/>
          </w:tcPr>
          <w:p w14:paraId="1C45AB39" w14:textId="77777777" w:rsidR="00C55547"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POZIȚIILE (LUNGI ȘI SCURTE)</w:t>
            </w:r>
          </w:p>
          <w:p w14:paraId="503F4241" w14:textId="5A1E85D7" w:rsidR="00C55547" w:rsidRPr="004B0EC7" w:rsidRDefault="00C55547" w:rsidP="008F7B97">
            <w:pPr>
              <w:suppressAutoHyphens/>
              <w:rPr>
                <w:rFonts w:ascii="Times New Roman" w:hAnsi="Times New Roman"/>
                <w:sz w:val="24"/>
              </w:rPr>
            </w:pPr>
            <w:r>
              <w:rPr>
                <w:rFonts w:ascii="Times New Roman" w:hAnsi="Times New Roman"/>
                <w:sz w:val="24"/>
              </w:rPr>
              <w:t>Articolul</w:t>
            </w:r>
            <w:r>
              <w:rPr>
                <w:rStyle w:val="InstructionsTabelleText"/>
                <w:rFonts w:ascii="Times New Roman" w:hAnsi="Times New Roman"/>
                <w:sz w:val="24"/>
              </w:rPr>
              <w:t xml:space="preserve"> 102 și articolul 105 alineatul (1) </w:t>
            </w:r>
            <w:r>
              <w:rPr>
                <w:rFonts w:ascii="Times New Roman" w:hAnsi="Times New Roman"/>
                <w:sz w:val="24"/>
              </w:rPr>
              <w:t>din Regulamentul (UE) nr. 575/2013</w:t>
            </w:r>
            <w:r>
              <w:rPr>
                <w:rStyle w:val="InstructionsTabelleText"/>
                <w:rFonts w:ascii="Times New Roman" w:hAnsi="Times New Roman"/>
                <w:sz w:val="24"/>
              </w:rPr>
              <w:t xml:space="preserve"> coroborate cu articolul 337 </w:t>
            </w:r>
            <w:r>
              <w:rPr>
                <w:rFonts w:ascii="Times New Roman" w:hAnsi="Times New Roman"/>
                <w:sz w:val="24"/>
              </w:rPr>
              <w:t xml:space="preserve">din regulamentul respectiv </w:t>
            </w:r>
            <w:r>
              <w:rPr>
                <w:rStyle w:val="InstructionsTabelleText"/>
                <w:rFonts w:ascii="Times New Roman" w:hAnsi="Times New Roman"/>
                <w:sz w:val="24"/>
              </w:rPr>
              <w:t xml:space="preserve">(poziții din securitizare). În ceea ce privește distincția dintre pozițiile lungi și scurte, care se aplică și în cazul acestor poziții brute, a se vedea articolul 328 alineatul (2) </w:t>
            </w:r>
            <w:r>
              <w:rPr>
                <w:rFonts w:ascii="Times New Roman" w:hAnsi="Times New Roman"/>
                <w:sz w:val="24"/>
              </w:rPr>
              <w:t>din Regulamentul (UE) nr. 575/2013</w:t>
            </w:r>
            <w:r>
              <w:rPr>
                <w:rStyle w:val="InstructionsTabelleText"/>
                <w:rFonts w:ascii="Times New Roman" w:hAnsi="Times New Roman"/>
                <w:sz w:val="24"/>
              </w:rPr>
              <w:t xml:space="preserve">. </w:t>
            </w:r>
          </w:p>
        </w:tc>
      </w:tr>
      <w:tr w:rsidR="00C55547" w:rsidRPr="004B0EC7" w14:paraId="22839602" w14:textId="77777777" w:rsidTr="000911FE">
        <w:tc>
          <w:tcPr>
            <w:tcW w:w="1413" w:type="dxa"/>
          </w:tcPr>
          <w:p w14:paraId="40A33AFE" w14:textId="77777777" w:rsidR="00C55547"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 POZIȚII DEDUSE DIN FONDURILE PROPRII</w:t>
            </w:r>
            <w:r>
              <w:rPr>
                <w:rFonts w:ascii="Times New Roman" w:hAnsi="Times New Roman"/>
                <w:sz w:val="24"/>
              </w:rPr>
              <w:t xml:space="preserve"> </w:t>
            </w:r>
            <w:r>
              <w:rPr>
                <w:rFonts w:ascii="Times New Roman" w:hAnsi="Times New Roman"/>
                <w:b/>
                <w:sz w:val="24"/>
                <w:u w:val="single"/>
              </w:rPr>
              <w:t>(LUNGI ȘI SCURTE)</w:t>
            </w:r>
          </w:p>
          <w:p w14:paraId="1429CBFE" w14:textId="010B8175" w:rsidR="00C55547" w:rsidRPr="004B0EC7" w:rsidRDefault="00705025" w:rsidP="008F7B97">
            <w:pPr>
              <w:suppressAutoHyphens/>
              <w:rPr>
                <w:rStyle w:val="InstructionsTabelleText"/>
                <w:rFonts w:ascii="Times New Roman" w:hAnsi="Times New Roman"/>
                <w:sz w:val="24"/>
              </w:rPr>
            </w:pPr>
            <w:r>
              <w:rPr>
                <w:rStyle w:val="InstructionsTabelleText"/>
                <w:rFonts w:ascii="Times New Roman" w:hAnsi="Times New Roman"/>
                <w:sz w:val="24"/>
              </w:rPr>
              <w:t xml:space="preserve"> Articolul 244 alineatul (1) litera (b), articolul 245 alineatul (1) litera (b) și articolul 253 </w:t>
            </w:r>
            <w:r>
              <w:rPr>
                <w:rFonts w:ascii="Times New Roman" w:hAnsi="Times New Roman"/>
                <w:sz w:val="24"/>
              </w:rPr>
              <w:t>din Regulamentul (UE) nr. 575/2013</w:t>
            </w:r>
          </w:p>
        </w:tc>
      </w:tr>
      <w:tr w:rsidR="00C55547" w:rsidRPr="004B0EC7" w14:paraId="16C58348" w14:textId="77777777" w:rsidTr="000911FE">
        <w:tc>
          <w:tcPr>
            <w:tcW w:w="1413" w:type="dxa"/>
          </w:tcPr>
          <w:p w14:paraId="2D1E9030" w14:textId="77777777" w:rsidR="00C55547"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POZIȚII NETE</w:t>
            </w:r>
            <w:r>
              <w:rPr>
                <w:rFonts w:ascii="Times New Roman" w:hAnsi="Times New Roman"/>
                <w:sz w:val="24"/>
              </w:rPr>
              <w:t xml:space="preserve"> </w:t>
            </w:r>
            <w:r>
              <w:rPr>
                <w:rFonts w:ascii="Times New Roman" w:hAnsi="Times New Roman"/>
                <w:b/>
                <w:sz w:val="24"/>
                <w:u w:val="single"/>
              </w:rPr>
              <w:t>(LUNGI ȘI SCURTE)</w:t>
            </w:r>
          </w:p>
          <w:p w14:paraId="54C14D76" w14:textId="7E4CA859" w:rsidR="00C55547" w:rsidRPr="004B0EC7" w:rsidRDefault="00C55547" w:rsidP="008F7B97">
            <w:pPr>
              <w:suppressAutoHyphens/>
              <w:rPr>
                <w:rStyle w:val="InstructionsTabelleText"/>
                <w:rFonts w:ascii="Times New Roman" w:hAnsi="Times New Roman"/>
                <w:sz w:val="24"/>
              </w:rPr>
            </w:pPr>
            <w:r>
              <w:rPr>
                <w:rFonts w:ascii="Times New Roman" w:hAnsi="Times New Roman"/>
                <w:sz w:val="24"/>
              </w:rPr>
              <w:t>Articolele</w:t>
            </w:r>
            <w:r>
              <w:rPr>
                <w:rStyle w:val="InstructionsTabelleText"/>
                <w:rFonts w:ascii="Times New Roman" w:hAnsi="Times New Roman"/>
                <w:sz w:val="24"/>
              </w:rPr>
              <w:t xml:space="preserve"> 327, 328, 329 și 334 </w:t>
            </w:r>
            <w:r>
              <w:rPr>
                <w:rFonts w:ascii="Times New Roman" w:hAnsi="Times New Roman"/>
                <w:sz w:val="24"/>
              </w:rPr>
              <w:t>din Regulamentul (UE) nr. 575/2013</w:t>
            </w:r>
            <w:r>
              <w:rPr>
                <w:rStyle w:val="InstructionsTabelleText"/>
                <w:rFonts w:ascii="Times New Roman" w:hAnsi="Times New Roman"/>
                <w:sz w:val="24"/>
              </w:rPr>
              <w:t xml:space="preserve">. În ceea ce privește distincția dintre pozițiile lungi și scurte, a se vedea articolul 328 alineatul (2) </w:t>
            </w:r>
            <w:r>
              <w:rPr>
                <w:rFonts w:ascii="Times New Roman" w:hAnsi="Times New Roman"/>
                <w:sz w:val="24"/>
              </w:rPr>
              <w:t>din Regulamentul (UE) nr. 575/2013</w:t>
            </w:r>
            <w:r>
              <w:rPr>
                <w:rStyle w:val="InstructionsTabelleText"/>
                <w:rFonts w:ascii="Times New Roman" w:hAnsi="Times New Roman"/>
                <w:sz w:val="24"/>
              </w:rPr>
              <w:t>.</w:t>
            </w:r>
          </w:p>
        </w:tc>
      </w:tr>
      <w:tr w:rsidR="00C55547" w:rsidRPr="004B0EC7" w14:paraId="0BDF729C" w14:textId="77777777" w:rsidTr="000911FE">
        <w:tc>
          <w:tcPr>
            <w:tcW w:w="1413" w:type="dxa"/>
          </w:tcPr>
          <w:p w14:paraId="324A2BB6" w14:textId="77777777" w:rsidR="00C55547"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DEFALCAREA POZIȚIILOR NETE PE PONDERI DE RISC</w:t>
            </w:r>
          </w:p>
          <w:p w14:paraId="3ECFC065" w14:textId="41D71775" w:rsidR="00C3548F" w:rsidRPr="004B0EC7" w:rsidRDefault="00C55547" w:rsidP="008F7B97">
            <w:pPr>
              <w:suppressAutoHyphens/>
              <w:rPr>
                <w:rStyle w:val="InstructionsTabelleText"/>
                <w:rFonts w:ascii="Times New Roman" w:hAnsi="Times New Roman"/>
                <w:sz w:val="24"/>
              </w:rPr>
            </w:pPr>
            <w:r>
              <w:rPr>
                <w:rStyle w:val="InstructionsTabelleText"/>
                <w:rFonts w:ascii="Times New Roman" w:hAnsi="Times New Roman"/>
                <w:sz w:val="24"/>
              </w:rPr>
              <w:t xml:space="preserve">Articolele 259-262, tabelele 1 și 2 de la articolul 263, tabelele 3 și 4 de la articolul 264 și articolul 266 </w:t>
            </w:r>
            <w:r>
              <w:rPr>
                <w:rFonts w:ascii="Times New Roman" w:hAnsi="Times New Roman"/>
                <w:sz w:val="24"/>
              </w:rPr>
              <w:t>din Regulamentul (UE) nr. 575/2013</w:t>
            </w:r>
            <w:r>
              <w:rPr>
                <w:rStyle w:val="InstructionsTabelleText"/>
                <w:rFonts w:ascii="Times New Roman" w:hAnsi="Times New Roman"/>
                <w:sz w:val="24"/>
              </w:rPr>
              <w:t xml:space="preserve">. </w:t>
            </w:r>
          </w:p>
          <w:p w14:paraId="4314B137" w14:textId="77777777" w:rsidR="00C55547" w:rsidRPr="004B0EC7" w:rsidRDefault="00C55547" w:rsidP="008F7B97">
            <w:pPr>
              <w:suppressAutoHyphens/>
              <w:rPr>
                <w:rStyle w:val="InstructionsTabelleText"/>
                <w:rFonts w:ascii="Times New Roman" w:hAnsi="Times New Roman"/>
                <w:sz w:val="24"/>
              </w:rPr>
            </w:pPr>
            <w:r>
              <w:rPr>
                <w:rStyle w:val="InstructionsTabelleText"/>
                <w:rFonts w:ascii="Times New Roman" w:hAnsi="Times New Roman"/>
                <w:sz w:val="24"/>
              </w:rPr>
              <w:t>Defalcarea trebuie realizată separat pentru pozițiile lungi și pentru pozițiile scurte.</w:t>
            </w:r>
          </w:p>
        </w:tc>
      </w:tr>
      <w:tr w:rsidR="00C55547" w:rsidRPr="004B0EC7" w14:paraId="2A20E80A" w14:textId="77777777" w:rsidTr="000911FE">
        <w:tc>
          <w:tcPr>
            <w:tcW w:w="1413" w:type="dxa"/>
          </w:tcPr>
          <w:p w14:paraId="163C862B" w14:textId="77777777" w:rsidR="00C55547"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DEFALCAREA POZIȚIILOR NETE PE ABORDĂRI</w:t>
            </w:r>
          </w:p>
          <w:p w14:paraId="683DE902" w14:textId="55DF04AD" w:rsidR="00C55547" w:rsidRPr="004B0EC7" w:rsidRDefault="00C55547" w:rsidP="008F7B97">
            <w:pPr>
              <w:suppressAutoHyphens/>
              <w:rPr>
                <w:rFonts w:ascii="Times New Roman" w:hAnsi="Times New Roman"/>
                <w:b/>
                <w:bCs/>
                <w:sz w:val="24"/>
                <w:u w:val="single"/>
              </w:rPr>
            </w:pPr>
            <w:r>
              <w:rPr>
                <w:rFonts w:ascii="Times New Roman" w:hAnsi="Times New Roman"/>
                <w:sz w:val="24"/>
              </w:rPr>
              <w:lastRenderedPageBreak/>
              <w:t>Articolul</w:t>
            </w:r>
            <w:r>
              <w:rPr>
                <w:rStyle w:val="InstructionsTabelleText"/>
                <w:rFonts w:ascii="Times New Roman" w:hAnsi="Times New Roman"/>
                <w:sz w:val="24"/>
              </w:rPr>
              <w:t xml:space="preserve"> 254 </w:t>
            </w:r>
            <w:r>
              <w:rPr>
                <w:rFonts w:ascii="Times New Roman" w:hAnsi="Times New Roman"/>
                <w:sz w:val="24"/>
              </w:rPr>
              <w:t>din Regulamentul (UE) nr. 575/2013</w:t>
            </w:r>
            <w:r>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0402</w:t>
            </w:r>
          </w:p>
        </w:tc>
        <w:tc>
          <w:tcPr>
            <w:tcW w:w="7605" w:type="dxa"/>
          </w:tcPr>
          <w:p w14:paraId="06929D2D" w14:textId="77777777"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4B0EC7" w:rsidRDefault="00C55547" w:rsidP="008F7B97">
            <w:pPr>
              <w:suppressAutoHyphens/>
              <w:rPr>
                <w:rFonts w:ascii="Times New Roman" w:hAnsi="Times New Roman"/>
                <w:b/>
                <w:bCs/>
                <w:sz w:val="24"/>
                <w:u w:val="single"/>
              </w:rPr>
            </w:pPr>
            <w:r>
              <w:rPr>
                <w:rStyle w:val="InstructionsTabelleText"/>
                <w:rFonts w:ascii="Times New Roman" w:hAnsi="Times New Roman"/>
                <w:sz w:val="24"/>
              </w:rPr>
              <w:t xml:space="preserve">Articolele 259 și 260 </w:t>
            </w:r>
            <w:r>
              <w:rPr>
                <w:rFonts w:ascii="Times New Roman" w:hAnsi="Times New Roman"/>
                <w:sz w:val="24"/>
              </w:rPr>
              <w:t>din Regulamentul (UE) nr. 575/2013</w:t>
            </w:r>
          </w:p>
        </w:tc>
      </w:tr>
      <w:tr w:rsidR="00C55547" w:rsidRPr="004B0EC7" w14:paraId="16BB3DCB" w14:textId="77777777" w:rsidTr="000911FE">
        <w:tc>
          <w:tcPr>
            <w:tcW w:w="1413" w:type="dxa"/>
          </w:tcPr>
          <w:p w14:paraId="189036B1" w14:textId="77777777" w:rsidR="00C55547"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4B0EC7" w:rsidRDefault="00C55547" w:rsidP="008F7B97">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 xml:space="preserve">Articolele 261 și 262 </w:t>
            </w:r>
            <w:r>
              <w:rPr>
                <w:rFonts w:ascii="Times New Roman" w:hAnsi="Times New Roman"/>
                <w:sz w:val="24"/>
              </w:rPr>
              <w:t>din Regulamentul (UE) nr. 575/2013</w:t>
            </w:r>
          </w:p>
        </w:tc>
      </w:tr>
      <w:tr w:rsidR="00C55547" w:rsidRPr="004B0EC7" w14:paraId="0B1E8511" w14:textId="77777777" w:rsidTr="000911FE">
        <w:tc>
          <w:tcPr>
            <w:tcW w:w="1413" w:type="dxa"/>
          </w:tcPr>
          <w:p w14:paraId="283E5722" w14:textId="77777777" w:rsidR="00C55547"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4B0EC7" w:rsidRDefault="00C55547" w:rsidP="008F7B97">
            <w:pPr>
              <w:suppressAutoHyphens/>
              <w:rPr>
                <w:rFonts w:ascii="Times New Roman" w:hAnsi="Times New Roman"/>
                <w:b/>
                <w:bCs/>
                <w:sz w:val="24"/>
                <w:u w:val="single"/>
              </w:rPr>
            </w:pPr>
            <w:r>
              <w:rPr>
                <w:rStyle w:val="InstructionsTabelleText"/>
                <w:rFonts w:ascii="Times New Roman" w:hAnsi="Times New Roman"/>
                <w:sz w:val="24"/>
              </w:rPr>
              <w:t xml:space="preserve">Articolele 263 și 264 </w:t>
            </w:r>
            <w:r>
              <w:rPr>
                <w:rFonts w:ascii="Times New Roman" w:hAnsi="Times New Roman"/>
                <w:sz w:val="24"/>
              </w:rPr>
              <w:t>din Regulamentul (UE) nr. 575/2013</w:t>
            </w:r>
          </w:p>
        </w:tc>
      </w:tr>
      <w:tr w:rsidR="00C55547" w:rsidRPr="004B0EC7" w14:paraId="76051CC7" w14:textId="77777777" w:rsidTr="000911FE">
        <w:tc>
          <w:tcPr>
            <w:tcW w:w="1413" w:type="dxa"/>
          </w:tcPr>
          <w:p w14:paraId="2CE39EAA" w14:textId="77777777" w:rsidR="00C55547"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ABORDAREA BAZATĂ PE EVALUĂRI INTERNE</w:t>
            </w:r>
          </w:p>
          <w:p w14:paraId="5354C48C" w14:textId="67E47F49" w:rsidR="00C55547" w:rsidRPr="004B0EC7" w:rsidRDefault="00C55547" w:rsidP="008F7B97">
            <w:pPr>
              <w:suppressAutoHyphens/>
              <w:rPr>
                <w:rFonts w:ascii="Times New Roman" w:hAnsi="Times New Roman"/>
                <w:bCs/>
                <w:sz w:val="24"/>
                <w:u w:val="single"/>
              </w:rPr>
            </w:pPr>
            <w:r>
              <w:rPr>
                <w:rStyle w:val="InstructionsTabelleText"/>
                <w:rFonts w:ascii="Times New Roman" w:hAnsi="Times New Roman"/>
                <w:sz w:val="24"/>
              </w:rPr>
              <w:t xml:space="preserve">Articolele 254, 265 și 266 alineatul (5) </w:t>
            </w:r>
            <w:r>
              <w:rPr>
                <w:rFonts w:ascii="Times New Roman" w:hAnsi="Times New Roman"/>
                <w:sz w:val="24"/>
              </w:rPr>
              <w:t>din Regulamentul (UE) nr. 575/2013</w:t>
            </w:r>
            <w:r>
              <w:rPr>
                <w:rStyle w:val="InstructionsTabelleText"/>
                <w:rFonts w:ascii="Times New Roman" w:hAnsi="Times New Roman"/>
                <w:sz w:val="24"/>
              </w:rPr>
              <w:t>.</w:t>
            </w:r>
          </w:p>
        </w:tc>
      </w:tr>
      <w:tr w:rsidR="0033476C" w:rsidRPr="004B0EC7" w14:paraId="00803C23" w14:textId="77777777" w:rsidTr="000911FE">
        <w:tc>
          <w:tcPr>
            <w:tcW w:w="1413" w:type="dxa"/>
          </w:tcPr>
          <w:p w14:paraId="6969B7D6" w14:textId="7D0DF91C" w:rsidR="0033476C" w:rsidRPr="004B0EC7" w:rsidRDefault="0033476C"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4B0EC7" w:rsidRDefault="0033476C" w:rsidP="008F7B97">
            <w:pPr>
              <w:suppressAutoHyphens/>
              <w:spacing w:before="0" w:after="0"/>
              <w:jc w:val="left"/>
              <w:rPr>
                <w:rFonts w:ascii="Times New Roman" w:hAnsi="Times New Roman"/>
                <w:b/>
                <w:sz w:val="24"/>
                <w:u w:val="single"/>
              </w:rPr>
            </w:pPr>
            <w:r>
              <w:rPr>
                <w:rFonts w:ascii="Times New Roman" w:hAnsi="Times New Roman"/>
                <w:b/>
                <w:sz w:val="24"/>
                <w:u w:val="single"/>
              </w:rPr>
              <w:t>TRATAMENT SPECIFIC PENTRU TRANȘELE DE RANG SUPERIOR DIN SECURITIZĂRILE DE NPE ELIGIBILE</w:t>
            </w:r>
          </w:p>
          <w:p w14:paraId="17BE744C" w14:textId="0A44FB4D" w:rsidR="0033476C" w:rsidRPr="004B0EC7" w:rsidRDefault="0033476C" w:rsidP="008F7B97">
            <w:pPr>
              <w:suppressAutoHyphens/>
              <w:rPr>
                <w:rFonts w:ascii="Times New Roman" w:hAnsi="Times New Roman"/>
                <w:b/>
                <w:bCs/>
                <w:sz w:val="24"/>
                <w:u w:val="single"/>
              </w:rPr>
            </w:pPr>
            <w:r>
              <w:rPr>
                <w:rFonts w:ascii="Times New Roman" w:hAnsi="Times New Roman"/>
                <w:sz w:val="24"/>
              </w:rPr>
              <w:t>Articolul 269a alineatul (3) din Regulamentul (UE) nr. 575/2013</w:t>
            </w:r>
          </w:p>
        </w:tc>
      </w:tr>
      <w:tr w:rsidR="00C55547" w:rsidRPr="004B0EC7" w14:paraId="05BEB883" w14:textId="77777777" w:rsidTr="000911FE">
        <w:tc>
          <w:tcPr>
            <w:tcW w:w="1413" w:type="dxa"/>
          </w:tcPr>
          <w:p w14:paraId="3D2DEA0A" w14:textId="77777777" w:rsidR="00C55547"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ALTELE (RW = 1 250</w:t>
            </w:r>
            <w:r>
              <w:t xml:space="preserve"> </w:t>
            </w:r>
            <w:r>
              <w:rPr>
                <w:rFonts w:ascii="Times New Roman" w:hAnsi="Times New Roman"/>
                <w:b/>
                <w:sz w:val="24"/>
                <w:u w:val="single"/>
              </w:rPr>
              <w:t>%)</w:t>
            </w:r>
          </w:p>
          <w:p w14:paraId="1684F52F" w14:textId="43F3FE5E" w:rsidR="00C55547" w:rsidRPr="004B0EC7" w:rsidRDefault="00C55547" w:rsidP="008F7B97">
            <w:pPr>
              <w:suppressAutoHyphens/>
              <w:rPr>
                <w:rFonts w:ascii="Times New Roman" w:hAnsi="Times New Roman"/>
                <w:b/>
                <w:bCs/>
                <w:sz w:val="24"/>
                <w:u w:val="single"/>
              </w:rPr>
            </w:pPr>
            <w:r>
              <w:rPr>
                <w:rStyle w:val="InstructionsTabelleText"/>
                <w:rFonts w:ascii="Times New Roman" w:hAnsi="Times New Roman"/>
                <w:sz w:val="24"/>
              </w:rPr>
              <w:t xml:space="preserve">Articolul 254 alineatul (7) </w:t>
            </w:r>
            <w:r>
              <w:rPr>
                <w:rFonts w:ascii="Times New Roman" w:hAnsi="Times New Roman"/>
                <w:sz w:val="24"/>
              </w:rPr>
              <w:t>din Regulamentul (UE) nr. 575/2013</w:t>
            </w:r>
          </w:p>
        </w:tc>
      </w:tr>
      <w:tr w:rsidR="00C55547" w:rsidRPr="004B0EC7" w14:paraId="11316298" w14:textId="77777777" w:rsidTr="000911FE">
        <w:tc>
          <w:tcPr>
            <w:tcW w:w="1413" w:type="dxa"/>
          </w:tcPr>
          <w:p w14:paraId="00B9220E" w14:textId="77777777" w:rsidR="00C55547"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EFECT GLOBAL (AJUSTARE) CA URMARE A ÎNCĂLCĂRII DISPOZIȚIILOR CAPITOLULUI 2 DIN REGULAMENTUL (UE) 2017/2402</w:t>
            </w:r>
          </w:p>
          <w:p w14:paraId="3FBEAE4C" w14:textId="027236BE" w:rsidR="00C55547" w:rsidRPr="004B0EC7" w:rsidRDefault="00C55547" w:rsidP="008F7B97">
            <w:pPr>
              <w:suppressAutoHyphens/>
              <w:rPr>
                <w:rFonts w:ascii="Times New Roman" w:hAnsi="Times New Roman"/>
                <w:b/>
                <w:bCs/>
                <w:sz w:val="24"/>
                <w:u w:val="single"/>
              </w:rPr>
            </w:pPr>
            <w:r>
              <w:rPr>
                <w:rStyle w:val="InstructionsTabelleText"/>
                <w:rFonts w:ascii="Times New Roman" w:hAnsi="Times New Roman"/>
                <w:sz w:val="24"/>
              </w:rPr>
              <w:t xml:space="preserve">Articolul 270a </w:t>
            </w:r>
            <w:r>
              <w:rPr>
                <w:rFonts w:ascii="Times New Roman" w:hAnsi="Times New Roman"/>
                <w:sz w:val="24"/>
              </w:rPr>
              <w:t>din Regulamentul (UE) nr. 575/2013</w:t>
            </w:r>
          </w:p>
        </w:tc>
      </w:tr>
      <w:tr w:rsidR="00C55547" w:rsidRPr="004B0EC7" w14:paraId="2BA98A90" w14:textId="77777777" w:rsidTr="000911FE">
        <w:tc>
          <w:tcPr>
            <w:tcW w:w="1413" w:type="dxa"/>
          </w:tcPr>
          <w:p w14:paraId="2EA0118D" w14:textId="77777777" w:rsidR="00C55547"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ÎNAINTE DE APLICAREA PLAFONULUI </w:t>
            </w:r>
          </w:p>
          <w:p w14:paraId="740CD739" w14:textId="19182A93" w:rsidR="00C55547" w:rsidRPr="004B0EC7" w:rsidRDefault="00C55547" w:rsidP="008F7B97">
            <w:pPr>
              <w:suppressAutoHyphens/>
              <w:rPr>
                <w:rFonts w:ascii="Times New Roman" w:hAnsi="Times New Roman"/>
                <w:bCs/>
                <w:sz w:val="24"/>
              </w:rPr>
            </w:pPr>
            <w:r>
              <w:rPr>
                <w:rFonts w:ascii="Times New Roman" w:hAnsi="Times New Roman"/>
                <w:sz w:val="24"/>
              </w:rPr>
              <w:t>Articolul 337 din Regulamentul (UE) nr. 575/2013, fără a ține cont de marja de apreciere prevăzută la articolul 335 din regulamentul respectiv, care permite instituțiilor să aplice produsului dintre pondere și poziția netă un plafon echivalent cu cuantumul maxim al pierderii posibile ca urmare a riscului de nerambursare.</w:t>
            </w:r>
          </w:p>
        </w:tc>
      </w:tr>
      <w:tr w:rsidR="00C55547" w:rsidRPr="004B0EC7" w14:paraId="247B0FB8" w14:textId="77777777" w:rsidTr="000911FE">
        <w:tc>
          <w:tcPr>
            <w:tcW w:w="1413" w:type="dxa"/>
          </w:tcPr>
          <w:p w14:paraId="22357CAC" w14:textId="77777777" w:rsidR="00C55547" w:rsidRPr="004B0EC7" w:rsidRDefault="00EE2CD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4118CCB3"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DUPĂ APLICAREA PLAFONULUI/TOTAL CERINȚE DE FONDURI PROPRII ÎNAINTE DE APLICAREA FACTORULUI DE MULTIPLICARE</w:t>
            </w:r>
          </w:p>
          <w:p w14:paraId="0DE4FAED" w14:textId="022355BB" w:rsidR="00C55547" w:rsidRPr="004B0EC7" w:rsidRDefault="00C55547" w:rsidP="008F7B97">
            <w:pPr>
              <w:suppressAutoHyphens/>
              <w:rPr>
                <w:rFonts w:ascii="Times New Roman" w:hAnsi="Times New Roman"/>
                <w:bCs/>
                <w:sz w:val="24"/>
              </w:rPr>
            </w:pPr>
            <w:r>
              <w:rPr>
                <w:rFonts w:ascii="Times New Roman" w:hAnsi="Times New Roman"/>
                <w:sz w:val="24"/>
              </w:rPr>
              <w:t xml:space="preserve">Articolul 337 din Regulamentul (UE) nr. 575/2013, </w:t>
            </w:r>
            <w:r>
              <w:rPr>
                <w:rStyle w:val="InstructionsTabelleText"/>
                <w:rFonts w:ascii="Times New Roman" w:hAnsi="Times New Roman"/>
                <w:sz w:val="24"/>
              </w:rPr>
              <w:t>ținând</w:t>
            </w:r>
            <w:r>
              <w:rPr>
                <w:rFonts w:ascii="Times New Roman" w:hAnsi="Times New Roman"/>
                <w:sz w:val="24"/>
              </w:rPr>
              <w:t xml:space="preserve"> seama de marja de apreciere prevăzută la articolul 335 din regulamentul respectiv.</w:t>
            </w:r>
          </w:p>
        </w:tc>
      </w:tr>
    </w:tbl>
    <w:p w14:paraId="2016D379" w14:textId="77777777" w:rsidR="00C55547" w:rsidRPr="004B0EC7" w:rsidRDefault="00C55547" w:rsidP="008F7B97">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8F7B97">
            <w:pPr>
              <w:suppressAutoHyphens/>
              <w:autoSpaceDE w:val="0"/>
              <w:autoSpaceDN w:val="0"/>
              <w:adjustRightInd w:val="0"/>
              <w:spacing w:after="0"/>
              <w:rPr>
                <w:rFonts w:ascii="Times New Roman" w:hAnsi="Times New Roman"/>
                <w:b/>
                <w:sz w:val="24"/>
              </w:rPr>
            </w:pPr>
            <w:r>
              <w:rPr>
                <w:rFonts w:ascii="Times New Roman" w:hAnsi="Times New Roman"/>
                <w:b/>
                <w:sz w:val="24"/>
              </w:rPr>
              <w:t>Rânduri</w:t>
            </w:r>
          </w:p>
        </w:tc>
      </w:tr>
      <w:tr w:rsidR="00C55547" w:rsidRPr="004B0EC7" w14:paraId="32F42F75" w14:textId="77777777" w:rsidTr="000911FE">
        <w:tc>
          <w:tcPr>
            <w:tcW w:w="1413" w:type="dxa"/>
          </w:tcPr>
          <w:p w14:paraId="4D0640F7"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4B0EC7" w:rsidRDefault="00C55547" w:rsidP="008F7B97">
            <w:pPr>
              <w:suppressAutoHyphens/>
              <w:rPr>
                <w:rFonts w:ascii="Times New Roman" w:hAnsi="Times New Roman"/>
                <w:sz w:val="24"/>
              </w:rPr>
            </w:pPr>
            <w:r>
              <w:rPr>
                <w:rStyle w:val="InstructionsTabelleberschrift"/>
                <w:rFonts w:ascii="Times New Roman" w:hAnsi="Times New Roman"/>
                <w:sz w:val="24"/>
              </w:rPr>
              <w:t>EXPUNERI TOTALE</w:t>
            </w:r>
          </w:p>
          <w:p w14:paraId="3DA30B45" w14:textId="77777777" w:rsidR="00C55547" w:rsidRPr="004B0EC7" w:rsidRDefault="00C55547" w:rsidP="008F7B97">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Cuantumul total al securitizărilor și resecuritizărilor în sold (deținute în portofoliul de tranzacționare) raportat de către instituția care îndeplinește rolul/rolurile de inițiator, investitor sau sponsor.</w:t>
            </w:r>
          </w:p>
        </w:tc>
      </w:tr>
      <w:tr w:rsidR="00C55547" w:rsidRPr="004B0EC7" w14:paraId="21E51D59" w14:textId="77777777" w:rsidTr="000911FE">
        <w:tc>
          <w:tcPr>
            <w:tcW w:w="1413" w:type="dxa"/>
          </w:tcPr>
          <w:p w14:paraId="5CCD69BA"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0040, 0070 și 0100</w:t>
            </w:r>
          </w:p>
        </w:tc>
        <w:tc>
          <w:tcPr>
            <w:tcW w:w="7537" w:type="dxa"/>
          </w:tcPr>
          <w:p w14:paraId="4F5DF6AF"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POZIȚII DIN SECURITIZARE</w:t>
            </w:r>
          </w:p>
          <w:p w14:paraId="62CD89EA" w14:textId="30BF22B1" w:rsidR="00C55547" w:rsidRPr="004B0EC7" w:rsidRDefault="00532026" w:rsidP="008F7B97">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Articolul 4 alineatul (1) punctul 62 din Regulamentul (UE) nr. 575/2013.</w:t>
            </w:r>
          </w:p>
          <w:p w14:paraId="0230B6E5" w14:textId="77777777" w:rsidR="00C55547" w:rsidRPr="004B0EC7" w:rsidRDefault="00C55547" w:rsidP="008F7B97">
            <w:pPr>
              <w:suppressAutoHyphens/>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 0050, 0080 și 0110</w:t>
            </w:r>
          </w:p>
        </w:tc>
        <w:tc>
          <w:tcPr>
            <w:tcW w:w="7537" w:type="dxa"/>
          </w:tcPr>
          <w:p w14:paraId="3C62BCE7"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POZIȚII DIN RESECURITIZARE</w:t>
            </w:r>
          </w:p>
          <w:p w14:paraId="32F5BAEB" w14:textId="2FA2B3C6" w:rsidR="00C55547" w:rsidRPr="004B0EC7" w:rsidRDefault="00D24331" w:rsidP="008F7B97">
            <w:pPr>
              <w:suppressAutoHyphens/>
              <w:autoSpaceDE w:val="0"/>
              <w:autoSpaceDN w:val="0"/>
              <w:adjustRightInd w:val="0"/>
              <w:spacing w:before="0" w:after="0"/>
              <w:rPr>
                <w:rFonts w:ascii="Times New Roman" w:hAnsi="Times New Roman"/>
                <w:bCs/>
                <w:sz w:val="24"/>
              </w:rPr>
            </w:pPr>
            <w:r>
              <w:rPr>
                <w:rFonts w:ascii="Times New Roman" w:hAnsi="Times New Roman"/>
                <w:sz w:val="24"/>
              </w:rPr>
              <w:t>Articolul 4 alineatul (1) punctul 64 din Regulamentul (UE) nr. 575/2013</w:t>
            </w:r>
          </w:p>
          <w:p w14:paraId="18108A69" w14:textId="77777777" w:rsidR="00C55547" w:rsidRPr="004B0EC7" w:rsidRDefault="00C55547" w:rsidP="008F7B97">
            <w:pPr>
              <w:suppressAutoHyphens/>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0041, 0071 și 0101</w:t>
            </w:r>
          </w:p>
        </w:tc>
        <w:tc>
          <w:tcPr>
            <w:tcW w:w="7537" w:type="dxa"/>
          </w:tcPr>
          <w:p w14:paraId="17D8E88B"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DIN CARE: ELIGIBILE PENTRU UN TRATAMENT DIFERENȚIAT ÎN MATERIE DE CAPITAL</w:t>
            </w:r>
          </w:p>
          <w:p w14:paraId="775DD0A5" w14:textId="73ABBACB" w:rsidR="00C55547" w:rsidRPr="004B0EC7" w:rsidRDefault="00C55547" w:rsidP="008F7B97">
            <w:pPr>
              <w:suppressAutoHyphens/>
              <w:rPr>
                <w:rStyle w:val="InstructionsTabelleberschrift"/>
                <w:rFonts w:ascii="Times New Roman" w:hAnsi="Times New Roman"/>
                <w:sz w:val="24"/>
              </w:rPr>
            </w:pPr>
            <w:r>
              <w:rPr>
                <w:rFonts w:ascii="Times New Roman" w:hAnsi="Times New Roman"/>
                <w:sz w:val="24"/>
              </w:rPr>
              <w:t>Cuantumul total al pozițiilor din securitizare care îndeplinesc criteriile de la articolul 243 din Regulamentul (UE) nr. 575/2013 sau de la articolul 270 din regulamentul respectiv și care, prin urmare, sunt eligibile pentru un tratament diferențiat în materie de capital.</w:t>
            </w:r>
          </w:p>
        </w:tc>
      </w:tr>
      <w:tr w:rsidR="00C55547" w:rsidRPr="004B0EC7" w14:paraId="5FAF4052" w14:textId="77777777" w:rsidTr="000911FE">
        <w:tc>
          <w:tcPr>
            <w:tcW w:w="1413" w:type="dxa"/>
          </w:tcPr>
          <w:p w14:paraId="39486578"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INIȚIATOR</w:t>
            </w:r>
          </w:p>
          <w:p w14:paraId="50264432" w14:textId="0FD773BF" w:rsidR="00C55547" w:rsidRPr="004B0EC7" w:rsidRDefault="00D24331" w:rsidP="008F7B97">
            <w:pPr>
              <w:suppressAutoHyphens/>
              <w:autoSpaceDE w:val="0"/>
              <w:autoSpaceDN w:val="0"/>
              <w:adjustRightInd w:val="0"/>
              <w:spacing w:before="0" w:after="0"/>
              <w:rPr>
                <w:rFonts w:ascii="Times New Roman" w:hAnsi="Times New Roman"/>
                <w:bCs/>
                <w:sz w:val="24"/>
              </w:rPr>
            </w:pPr>
            <w:r>
              <w:rPr>
                <w:rFonts w:ascii="Times New Roman" w:hAnsi="Times New Roman"/>
                <w:sz w:val="24"/>
              </w:rPr>
              <w:t>Articolul 4 alineatul (1) punctul 13 din Regulamentul (UE) nr. 575/2013</w:t>
            </w:r>
          </w:p>
          <w:p w14:paraId="671304E2" w14:textId="77777777" w:rsidR="00C55547" w:rsidRPr="004B0EC7" w:rsidRDefault="00C55547" w:rsidP="008F7B97">
            <w:pPr>
              <w:suppressAutoHyphens/>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INVESTITOR</w:t>
            </w:r>
          </w:p>
          <w:p w14:paraId="13A59676" w14:textId="77777777" w:rsidR="00C55547" w:rsidRPr="004B0EC7" w:rsidRDefault="00C55547" w:rsidP="008F7B97">
            <w:pPr>
              <w:suppressAutoHyphens/>
              <w:autoSpaceDE w:val="0"/>
              <w:autoSpaceDN w:val="0"/>
              <w:adjustRightInd w:val="0"/>
              <w:spacing w:before="0" w:after="0"/>
              <w:rPr>
                <w:rFonts w:ascii="Times New Roman" w:hAnsi="Times New Roman"/>
                <w:bCs/>
                <w:sz w:val="24"/>
              </w:rPr>
            </w:pPr>
            <w:r>
              <w:rPr>
                <w:rFonts w:ascii="Times New Roman" w:hAnsi="Times New Roman"/>
                <w:sz w:val="24"/>
              </w:rPr>
              <w:t>Instituția de credit care deține o poziție din securitizare într-o tranzacție de securitizare pentru care nu este nici inițiator, nici sponsor și nici creditor inițial.</w:t>
            </w:r>
          </w:p>
          <w:p w14:paraId="5289F9D1" w14:textId="77777777" w:rsidR="00C55547" w:rsidRPr="004B0EC7" w:rsidRDefault="00C55547" w:rsidP="008F7B97">
            <w:pPr>
              <w:suppressAutoHyphens/>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SPONSOR</w:t>
            </w:r>
          </w:p>
          <w:p w14:paraId="40C5E800" w14:textId="57801E6F" w:rsidR="000242CC" w:rsidRPr="004B0EC7" w:rsidRDefault="00D24331" w:rsidP="008F7B97">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Articolul 4 alineatul (1) punctul 14 din Regulamentul (UE) nr. 575/2013</w:t>
            </w:r>
            <w:r>
              <w:rPr>
                <w:rStyle w:val="InstructionsTabelleText"/>
                <w:rFonts w:ascii="Times New Roman" w:hAnsi="Times New Roman"/>
                <w:sz w:val="24"/>
              </w:rPr>
              <w:t xml:space="preserve">. </w:t>
            </w:r>
          </w:p>
          <w:p w14:paraId="036222AB" w14:textId="77777777" w:rsidR="00C55547" w:rsidRPr="004B0EC7" w:rsidRDefault="00532026" w:rsidP="008F7B97">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Un sponsor care securitizează și active proprii trebuie să completeze rândurile aferente inițiatorului cu informațiile referitoare la activele proprii securitizate.</w:t>
            </w:r>
          </w:p>
        </w:tc>
      </w:tr>
    </w:tbl>
    <w:p w14:paraId="204C667B"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rFonts w:ascii="Times New Roman" w:hAnsi="Times New Roman"/>
          <w:sz w:val="24"/>
          <w:u w:val="none"/>
        </w:rPr>
        <w:t>5.3.</w:t>
      </w:r>
      <w:r>
        <w:rPr>
          <w:rFonts w:ascii="Times New Roman" w:hAnsi="Times New Roman"/>
          <w:sz w:val="24"/>
          <w:u w:val="none"/>
        </w:rPr>
        <w:tab/>
      </w:r>
      <w:r>
        <w:rPr>
          <w:rFonts w:ascii="Times New Roman" w:hAnsi="Times New Roman"/>
          <w:sz w:val="24"/>
        </w:rPr>
        <w:t>C 20.01 – Riscul de piață: abordarea standardizată simplificată pentru riscul specific în cazul pozițiilor alocate portofoliului de tranzacționare pe bază de corelație (MKR SSA CTP</w:t>
      </w:r>
      <w:bookmarkEnd w:id="61"/>
      <w:bookmarkEnd w:id="62"/>
      <w:bookmarkEnd w:id="63"/>
      <w:bookmarkEnd w:id="64"/>
      <w:r>
        <w:rPr>
          <w:rFonts w:ascii="Times New Roman" w:hAnsi="Times New Roman"/>
          <w:sz w:val="24"/>
        </w:rPr>
        <w:t>)</w:t>
      </w:r>
      <w:bookmarkEnd w:id="65"/>
      <w:bookmarkEnd w:id="66"/>
      <w:bookmarkEnd w:id="67"/>
    </w:p>
    <w:p w14:paraId="43960D05" w14:textId="77777777"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rFonts w:ascii="Times New Roman" w:hAnsi="Times New Roman"/>
          <w:sz w:val="24"/>
          <w:u w:val="none"/>
        </w:rPr>
        <w:t>5.3.1.</w:t>
      </w:r>
      <w:r>
        <w:rPr>
          <w:rFonts w:ascii="Times New Roman" w:hAnsi="Times New Roman"/>
          <w:sz w:val="24"/>
          <w:u w:val="none"/>
        </w:rPr>
        <w:tab/>
      </w:r>
      <w:r>
        <w:rPr>
          <w:rFonts w:ascii="Times New Roman" w:hAnsi="Times New Roman"/>
          <w:sz w:val="24"/>
        </w:rPr>
        <w:t>Observații generale</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8F7B97">
      <w:pPr>
        <w:pStyle w:val="InstructionsText2"/>
        <w:numPr>
          <w:ilvl w:val="0"/>
          <w:numId w:val="0"/>
        </w:numPr>
        <w:suppressAutoHyphens/>
        <w:ind w:left="993"/>
      </w:pPr>
      <w:r w:rsidRPr="004B0EC7">
        <w:fldChar w:fldCharType="begin"/>
      </w:r>
      <w:r w:rsidRPr="004B0EC7">
        <w:instrText xml:space="preserve"> seq paragraphs </w:instrText>
      </w:r>
      <w:r w:rsidRPr="004B0EC7">
        <w:fldChar w:fldCharType="separate"/>
      </w:r>
      <w:r w:rsidRPr="004B0EC7">
        <w:t>165</w:t>
      </w:r>
      <w:r w:rsidRPr="004B0EC7">
        <w:fldChar w:fldCharType="end"/>
      </w:r>
      <w:r>
        <w:t>. Acest formular prevede furnizarea de informații cu privire la pozițiile din portofoliul de tranzacționare pe bază de corelație (CTP) [cuprinzând securitizări, instrumente financiare derivate de credit de tipul «n-th-to-default» și alte poziții din CTP incluse în conformitate cu articolul 338 alineatul (3) din Regulamentul (UE) nr. 575/2013] și la cerințele de fonduri proprii corespunzătoare conform abordării standardizate.</w:t>
      </w:r>
    </w:p>
    <w:p w14:paraId="7D9D9B10" w14:textId="72D4CBCA" w:rsidR="00C55547" w:rsidRPr="004B0EC7" w:rsidRDefault="008F3052" w:rsidP="008F7B97">
      <w:pPr>
        <w:pStyle w:val="InstructionsText2"/>
        <w:numPr>
          <w:ilvl w:val="0"/>
          <w:numId w:val="0"/>
        </w:numPr>
        <w:suppressAutoHyphens/>
        <w:ind w:left="993"/>
      </w:pPr>
      <w:r w:rsidRPr="004B0EC7">
        <w:fldChar w:fldCharType="begin"/>
      </w:r>
      <w:r w:rsidRPr="004B0EC7">
        <w:instrText>seq paragraphs</w:instrText>
      </w:r>
      <w:r w:rsidRPr="004B0EC7">
        <w:fldChar w:fldCharType="separate"/>
      </w:r>
      <w:r w:rsidR="00771068" w:rsidRPr="004B0EC7">
        <w:t>166</w:t>
      </w:r>
      <w:r w:rsidRPr="004B0EC7">
        <w:fldChar w:fldCharType="end"/>
      </w:r>
      <w:r>
        <w:t>.</w:t>
      </w:r>
      <w:r>
        <w:tab/>
        <w:t xml:space="preserve"> Formularul MKR SSA CTP prezintă cerința de fonduri proprii numai pentru riscul specific aferent pozițiilor alocate CTP în conformitate cu articolul 335 din Regulamentul (UE) nr. 575/2013 coroborat cu articolul 338 alineatele (2) și (3) din regulamentul respectiv. În cazul în care pozițiile alocate portofoliului de tranzacționare pe bază de corelație din portofoliul de tranzacționare sunt acoperite prin instrumente financiare derivate de credit, se aplică articolele 346 și 347 din Regulamentul (UE) nr. 575/2013. Există un singur formular pentru toate pozițiile CTP din portofoliul de tranzacționare, indiferent de abordarea aplicată de instituții pentru a determina ponderea de risc pentru fiecare poziție în conformitate cu partea </w:t>
      </w:r>
      <w:r>
        <w:lastRenderedPageBreak/>
        <w:t>a treia titlul II capitolul 5 din Regulamentul (UE) nr. 575/2013. Cerințele de fonduri proprii pentru riscul general al acestor poziții se raportează în formularul MKR SSA TDI sau în formularul MKR IM.</w:t>
      </w:r>
    </w:p>
    <w:p w14:paraId="2252BE4F" w14:textId="2923B5F6" w:rsidR="00C55547" w:rsidRPr="004B0EC7" w:rsidRDefault="008F3052" w:rsidP="008F7B97">
      <w:pPr>
        <w:pStyle w:val="InstructionsText2"/>
        <w:numPr>
          <w:ilvl w:val="0"/>
          <w:numId w:val="0"/>
        </w:numPr>
        <w:suppressAutoHyphens/>
        <w:ind w:left="993"/>
      </w:pPr>
      <w:r w:rsidRPr="004B0EC7">
        <w:fldChar w:fldCharType="begin"/>
      </w:r>
      <w:r w:rsidRPr="004B0EC7">
        <w:instrText>seq paragraphs</w:instrText>
      </w:r>
      <w:r w:rsidRPr="004B0EC7">
        <w:fldChar w:fldCharType="separate"/>
      </w:r>
      <w:r w:rsidR="00771068" w:rsidRPr="004B0EC7">
        <w:t>167</w:t>
      </w:r>
      <w:r w:rsidRPr="004B0EC7">
        <w:fldChar w:fldCharType="end"/>
      </w:r>
      <w:r>
        <w:t>.</w:t>
      </w:r>
      <w:r>
        <w:tab/>
        <w:t xml:space="preserve"> Formularul separă pozițiile din securitizare de instrumentele financiare derivate de credit de tipul «n-th-to-default» și de alte poziții alocate portofoliului de tranzacționare pe bază de corelație. Pozițiile din securitizare se raportează întotdeauna pe rândurile 0030, 0060 sau 0090 (în funcție de rolul instituției în securitizarea respectivă). Instrumentele financiare derivate de credit de tipul «n-th-to-default» sunt întotdeauna raportate pe rândul 0110. «Celelalte poziții alocate portofoliului de tranzacționare pe bază de corelație» sunt pozițiile care nu sunt nici poziții din securitizare și nici instrumente financiare derivate de credit de tipul «n-th-to-default» [a se vedea articolul 338 alineatul (3) din Regulamentul (UE) nr.</w:t>
      </w:r>
      <w:r w:rsidR="008F7B97">
        <w:t> </w:t>
      </w:r>
      <w:r>
        <w:t xml:space="preserve">575/2013], dar sunt în mod explicit «legate» de una dintre aceste două poziții (din cauza intenției de acoperire împotriva riscurilor). </w:t>
      </w:r>
    </w:p>
    <w:p w14:paraId="5B5B9C2A" w14:textId="21A69FAD" w:rsidR="00C55547" w:rsidRPr="004B0EC7" w:rsidRDefault="008F3052" w:rsidP="008F7B97">
      <w:pPr>
        <w:pStyle w:val="InstructionsText2"/>
        <w:numPr>
          <w:ilvl w:val="0"/>
          <w:numId w:val="0"/>
        </w:numPr>
        <w:suppressAutoHyphens/>
        <w:ind w:left="993"/>
      </w:pPr>
      <w:r w:rsidRPr="004B0EC7">
        <w:fldChar w:fldCharType="begin"/>
      </w:r>
      <w:r w:rsidRPr="004B0EC7">
        <w:instrText>seq paragraphs</w:instrText>
      </w:r>
      <w:r w:rsidRPr="004B0EC7">
        <w:fldChar w:fldCharType="separate"/>
      </w:r>
      <w:r w:rsidR="00771068" w:rsidRPr="004B0EC7">
        <w:t>168</w:t>
      </w:r>
      <w:r w:rsidRPr="004B0EC7">
        <w:fldChar w:fldCharType="end"/>
      </w:r>
      <w:r>
        <w:t>.</w:t>
      </w:r>
      <w:r>
        <w:tab/>
        <w:t xml:space="preserve"> Ca alternativă, pozițiile care primesc o pondere de risc de 1 250 % pot fi deduse din CET1 [a se vedea articolul 244 alineatul (1) litera (b), articolul 245 alineatul (1) litera (b) și articolul 253 din Regulamentul (UE) nr. 575/2013]. În acest caz, pozițiile respective trebuie raportate pe rândul 0460 din CA1.</w:t>
      </w:r>
    </w:p>
    <w:p w14:paraId="6482CB53" w14:textId="3E0BDD09"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81" w:name="_Toc151714494"/>
      <w:r>
        <w:rPr>
          <w:rFonts w:ascii="Times New Roman" w:hAnsi="Times New Roman"/>
          <w:sz w:val="24"/>
          <w:u w:val="none"/>
        </w:rPr>
        <w:t>5.3.2.</w:t>
      </w:r>
      <w:r>
        <w:rPr>
          <w:rFonts w:ascii="Times New Roman" w:hAnsi="Times New Roman"/>
          <w:sz w:val="24"/>
          <w:u w:val="none"/>
        </w:rPr>
        <w:tab/>
      </w:r>
      <w:r>
        <w:rPr>
          <w:rFonts w:ascii="Times New Roman" w:hAnsi="Times New Roman"/>
          <w:sz w:val="24"/>
        </w:rPr>
        <w:t>Instrucțiuni privind anumite poziții</w:t>
      </w:r>
      <w:bookmarkEnd w:id="75"/>
      <w:bookmarkEnd w:id="76"/>
      <w:bookmarkEnd w:id="77"/>
      <w:bookmarkEnd w:id="78"/>
      <w:bookmarkEnd w:id="79"/>
      <w:bookmarkEnd w:id="80"/>
      <w:bookmarkEnd w:id="81"/>
    </w:p>
    <w:p w14:paraId="08BF27B7"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8F7B97">
            <w:pPr>
              <w:suppressAutoHyphens/>
              <w:autoSpaceDE w:val="0"/>
              <w:autoSpaceDN w:val="0"/>
              <w:adjustRightInd w:val="0"/>
              <w:spacing w:after="0"/>
              <w:rPr>
                <w:rFonts w:ascii="Times New Roman" w:hAnsi="Times New Roman"/>
                <w:b/>
                <w:sz w:val="24"/>
              </w:rPr>
            </w:pPr>
            <w:r>
              <w:rPr>
                <w:rFonts w:ascii="Times New Roman" w:hAnsi="Times New Roman"/>
                <w:b/>
                <w:sz w:val="24"/>
              </w:rPr>
              <w:t>Coloane</w:t>
            </w:r>
          </w:p>
        </w:tc>
      </w:tr>
      <w:tr w:rsidR="00C55547" w:rsidRPr="004B0EC7" w14:paraId="697D3EB6" w14:textId="77777777" w:rsidTr="00E10B85">
        <w:tc>
          <w:tcPr>
            <w:tcW w:w="1016" w:type="dxa"/>
          </w:tcPr>
          <w:p w14:paraId="5A814BB2"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TOATE POZIȚIILE (LUNGI ȘI SCURTE)</w:t>
            </w:r>
          </w:p>
          <w:p w14:paraId="4F3CF7CB" w14:textId="017BAB06" w:rsidR="005C14B0" w:rsidRPr="004B0EC7" w:rsidRDefault="00C55547" w:rsidP="008F7B97">
            <w:pPr>
              <w:suppressAutoHyphens/>
              <w:rPr>
                <w:rFonts w:ascii="Times New Roman" w:hAnsi="Times New Roman"/>
                <w:sz w:val="24"/>
              </w:rPr>
            </w:pPr>
            <w:r>
              <w:rPr>
                <w:rFonts w:ascii="Times New Roman" w:hAnsi="Times New Roman"/>
                <w:sz w:val="24"/>
              </w:rPr>
              <w:t>Articolul 102 și articolul 105 alineatul (1) din Regulamentul (UE) nr. 575/2013 coroborate cu articolul 338 alineatele (2) și (3) din regulamentul respectiv (poziții alocate portofoliului de tranzacționare pe bază de corelație)</w:t>
            </w:r>
          </w:p>
          <w:p w14:paraId="70FB0860" w14:textId="005CBA75" w:rsidR="00C55547" w:rsidRPr="004B0EC7" w:rsidRDefault="00C55547" w:rsidP="008F7B97">
            <w:pPr>
              <w:suppressAutoHyphens/>
              <w:rPr>
                <w:rFonts w:ascii="Times New Roman" w:hAnsi="Times New Roman"/>
                <w:sz w:val="24"/>
              </w:rPr>
            </w:pPr>
            <w:r>
              <w:rPr>
                <w:rFonts w:ascii="Times New Roman" w:hAnsi="Times New Roman"/>
                <w:sz w:val="24"/>
              </w:rPr>
              <w:t>În ceea ce privește distincția dintre pozițiile lungi și scurte, care se aplică și în cazul acestor poziții brute, a se vedea articolul 328 alineatul (2) din Regulamentul (UE) nr. 575/2013.</w:t>
            </w:r>
          </w:p>
        </w:tc>
      </w:tr>
      <w:tr w:rsidR="00C55547" w:rsidRPr="004B0EC7" w14:paraId="3641769F" w14:textId="77777777" w:rsidTr="00E10B85">
        <w:tc>
          <w:tcPr>
            <w:tcW w:w="1016" w:type="dxa"/>
          </w:tcPr>
          <w:p w14:paraId="04DBC56E"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 POZIȚII DEDUSE DIN FONDURILE PROPRII (LUNGI ȘI SCURTE)</w:t>
            </w:r>
          </w:p>
          <w:p w14:paraId="56207551" w14:textId="0069D39B" w:rsidR="00C55547" w:rsidRPr="004B0EC7" w:rsidRDefault="00C55547" w:rsidP="008F7B97">
            <w:pPr>
              <w:suppressAutoHyphens/>
              <w:rPr>
                <w:rFonts w:ascii="Times New Roman" w:hAnsi="Times New Roman"/>
                <w:sz w:val="24"/>
              </w:rPr>
            </w:pPr>
            <w:r>
              <w:rPr>
                <w:rFonts w:ascii="Times New Roman" w:hAnsi="Times New Roman"/>
                <w:sz w:val="24"/>
              </w:rPr>
              <w:t xml:space="preserve">Articolul 253 din Regulamentul (UE) nr. 575/2013 </w:t>
            </w:r>
          </w:p>
        </w:tc>
      </w:tr>
      <w:tr w:rsidR="00C55547" w:rsidRPr="004B0EC7" w14:paraId="6E312180" w14:textId="77777777" w:rsidTr="00E10B85">
        <w:tc>
          <w:tcPr>
            <w:tcW w:w="1016" w:type="dxa"/>
          </w:tcPr>
          <w:p w14:paraId="08709592"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POZIȚII NETE (LUNGI ȘI SCURTE)</w:t>
            </w:r>
          </w:p>
          <w:p w14:paraId="01BDDE40" w14:textId="76E789A7" w:rsidR="005C14B0" w:rsidRPr="004B0EC7" w:rsidRDefault="00C55547" w:rsidP="008F7B97">
            <w:pPr>
              <w:suppressAutoHyphens/>
              <w:rPr>
                <w:rFonts w:ascii="Times New Roman" w:hAnsi="Times New Roman"/>
                <w:sz w:val="24"/>
              </w:rPr>
            </w:pPr>
            <w:r>
              <w:rPr>
                <w:rFonts w:ascii="Times New Roman" w:hAnsi="Times New Roman"/>
                <w:sz w:val="24"/>
              </w:rPr>
              <w:t xml:space="preserve">Articolele 327, 328, 329 și 334 din Regulamentul (UE) nr. 575/2013 </w:t>
            </w:r>
          </w:p>
          <w:p w14:paraId="6C03F093" w14:textId="2B98C3C7" w:rsidR="00C55547" w:rsidRPr="004B0EC7" w:rsidRDefault="00C55547" w:rsidP="008F7B97">
            <w:pPr>
              <w:suppressAutoHyphens/>
              <w:rPr>
                <w:rFonts w:ascii="Times New Roman" w:hAnsi="Times New Roman"/>
                <w:sz w:val="24"/>
              </w:rPr>
            </w:pPr>
            <w:r>
              <w:rPr>
                <w:rFonts w:ascii="Times New Roman" w:hAnsi="Times New Roman"/>
                <w:sz w:val="24"/>
              </w:rPr>
              <w:t>În ceea ce privește distincția dintre pozițiile lungi și scurte, a se vedea articolul 328 alineatul (2) din Regulamentul (UE) nr. 575/2013.</w:t>
            </w:r>
          </w:p>
        </w:tc>
      </w:tr>
      <w:tr w:rsidR="00C55547" w:rsidRPr="004B0EC7" w14:paraId="6F83AB99" w14:textId="77777777" w:rsidTr="00E10B85">
        <w:tc>
          <w:tcPr>
            <w:tcW w:w="1016" w:type="dxa"/>
          </w:tcPr>
          <w:p w14:paraId="6DDF2435"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DEFALCAREA POZIȚIILOR NETE PE PONDERI DE RISC</w:t>
            </w:r>
          </w:p>
          <w:p w14:paraId="691F4414" w14:textId="030DE019" w:rsidR="00C55547" w:rsidRPr="004B0EC7" w:rsidRDefault="00133396" w:rsidP="008F7B97">
            <w:pPr>
              <w:suppressAutoHyphens/>
              <w:rPr>
                <w:rFonts w:ascii="Times New Roman" w:hAnsi="Times New Roman"/>
                <w:sz w:val="24"/>
              </w:rPr>
            </w:pPr>
            <w:r>
              <w:rPr>
                <w:rStyle w:val="InstructionsTabelleText"/>
                <w:rFonts w:ascii="Times New Roman" w:hAnsi="Times New Roman"/>
                <w:sz w:val="24"/>
              </w:rPr>
              <w:t xml:space="preserve">Articolele 259-262, tabelele 1 și 2 de la articolul 263, tabelele 3 și 4 de la articolul 264 și articolul 266 </w:t>
            </w:r>
            <w:r>
              <w:rPr>
                <w:rFonts w:ascii="Times New Roman" w:hAnsi="Times New Roman"/>
                <w:sz w:val="24"/>
              </w:rPr>
              <w:t>din Regulamentul (UE) nr. 575/2013</w:t>
            </w:r>
          </w:p>
        </w:tc>
      </w:tr>
      <w:tr w:rsidR="00C55547" w:rsidRPr="004B0EC7" w14:paraId="495D2FD0" w14:textId="77777777" w:rsidTr="00E10B85">
        <w:tc>
          <w:tcPr>
            <w:tcW w:w="1016" w:type="dxa"/>
          </w:tcPr>
          <w:p w14:paraId="295B01D9" w14:textId="77777777" w:rsidR="00C55547" w:rsidRPr="004B0EC7" w:rsidRDefault="002F79EA" w:rsidP="008F7B97">
            <w:pPr>
              <w:suppressAutoHyphens/>
              <w:rPr>
                <w:rFonts w:ascii="Times New Roman" w:hAnsi="Times New Roman"/>
                <w:sz w:val="24"/>
              </w:rPr>
            </w:pPr>
            <w:r>
              <w:rPr>
                <w:rFonts w:ascii="Times New Roman" w:hAnsi="Times New Roman"/>
                <w:sz w:val="24"/>
              </w:rPr>
              <w:lastRenderedPageBreak/>
              <w:t>0402-0406</w:t>
            </w:r>
          </w:p>
        </w:tc>
        <w:tc>
          <w:tcPr>
            <w:tcW w:w="7874" w:type="dxa"/>
          </w:tcPr>
          <w:p w14:paraId="23629FA6" w14:textId="77777777" w:rsidR="00C55547" w:rsidRPr="004B0EC7" w:rsidRDefault="00543964"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DEFALCAREA POZIȚIILOR NETE PE ABORDĂRI</w:t>
            </w:r>
          </w:p>
          <w:p w14:paraId="19937787" w14:textId="465ADE79" w:rsidR="00C55547" w:rsidRPr="004B0EC7" w:rsidRDefault="00C55547" w:rsidP="008F7B97">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Articolul 254 </w:t>
            </w:r>
            <w:r>
              <w:rPr>
                <w:rFonts w:ascii="Times New Roman" w:hAnsi="Times New Roman"/>
                <w:sz w:val="24"/>
              </w:rPr>
              <w:t>din Regulamentul (UE) nr. 575/2013</w:t>
            </w:r>
            <w:r>
              <w:rPr>
                <w:rStyle w:val="InstructionsTabelleText"/>
                <w:rFonts w:ascii="Times New Roman" w:hAnsi="Times New Roman"/>
                <w:sz w:val="24"/>
              </w:rPr>
              <w:t xml:space="preserve"> </w:t>
            </w:r>
          </w:p>
        </w:tc>
      </w:tr>
      <w:tr w:rsidR="00C55547" w:rsidRPr="004B0EC7" w14:paraId="18FE6247" w14:textId="77777777" w:rsidTr="00E10B85">
        <w:tc>
          <w:tcPr>
            <w:tcW w:w="1016" w:type="dxa"/>
          </w:tcPr>
          <w:p w14:paraId="17001A21" w14:textId="77777777" w:rsidR="00C55547" w:rsidRPr="004B0EC7" w:rsidRDefault="002F79EA" w:rsidP="008F7B97">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4B0EC7" w:rsidRDefault="00C55547" w:rsidP="008F7B97">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Articolele 259 și 260 </w:t>
            </w:r>
            <w:r>
              <w:rPr>
                <w:rFonts w:ascii="Times New Roman" w:hAnsi="Times New Roman"/>
                <w:sz w:val="24"/>
              </w:rPr>
              <w:t>din Regulamentul (UE) nr. 575/2013</w:t>
            </w:r>
          </w:p>
        </w:tc>
      </w:tr>
      <w:tr w:rsidR="00C55547" w:rsidRPr="004B0EC7" w14:paraId="35656008" w14:textId="77777777" w:rsidTr="00E10B85">
        <w:tc>
          <w:tcPr>
            <w:tcW w:w="1016" w:type="dxa"/>
          </w:tcPr>
          <w:p w14:paraId="720D0546" w14:textId="77777777" w:rsidR="00C55547" w:rsidRPr="004B0EC7" w:rsidRDefault="002F79EA" w:rsidP="008F7B97">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4B0EC7" w:rsidRDefault="00C55547" w:rsidP="008F7B97">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Articolele 261 și 262 </w:t>
            </w:r>
            <w:r>
              <w:rPr>
                <w:rFonts w:ascii="Times New Roman" w:hAnsi="Times New Roman"/>
                <w:sz w:val="24"/>
              </w:rPr>
              <w:t>din Regulamentul (UE) nr. 575/2013</w:t>
            </w:r>
          </w:p>
        </w:tc>
      </w:tr>
      <w:tr w:rsidR="00C55547" w:rsidRPr="004B0EC7" w14:paraId="7B54B7CF" w14:textId="77777777" w:rsidTr="00E10B85">
        <w:tc>
          <w:tcPr>
            <w:tcW w:w="1016" w:type="dxa"/>
          </w:tcPr>
          <w:p w14:paraId="0D21F451" w14:textId="77777777" w:rsidR="00C55547" w:rsidRPr="004B0EC7" w:rsidRDefault="002F79EA" w:rsidP="008F7B97">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4B0EC7" w:rsidRDefault="00C55547" w:rsidP="008F7B97">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Articolele 263 și 264 </w:t>
            </w:r>
            <w:r>
              <w:rPr>
                <w:rFonts w:ascii="Times New Roman" w:hAnsi="Times New Roman"/>
                <w:sz w:val="24"/>
              </w:rPr>
              <w:t>din Regulamentul (UE) nr. 575/2013</w:t>
            </w:r>
          </w:p>
        </w:tc>
      </w:tr>
      <w:tr w:rsidR="00C55547" w:rsidRPr="004B0EC7" w14:paraId="7979A32D" w14:textId="77777777" w:rsidTr="00E10B85">
        <w:tc>
          <w:tcPr>
            <w:tcW w:w="1016" w:type="dxa"/>
          </w:tcPr>
          <w:p w14:paraId="7C1C67E6" w14:textId="77777777" w:rsidR="00C55547" w:rsidRPr="004B0EC7" w:rsidRDefault="002F79EA" w:rsidP="008F7B97">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ABORDAREA BAZATĂ PE EVALUĂRI INTERNE</w:t>
            </w:r>
          </w:p>
          <w:p w14:paraId="46E92693" w14:textId="78E87E8C" w:rsidR="00C55547" w:rsidRPr="004B0EC7" w:rsidRDefault="00C55547" w:rsidP="008F7B97">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Articolele 254 și 265 și articolul 266 alineatul (5) </w:t>
            </w:r>
            <w:r>
              <w:rPr>
                <w:rFonts w:ascii="Times New Roman" w:hAnsi="Times New Roman"/>
                <w:sz w:val="24"/>
              </w:rPr>
              <w:t>din Regulamentul (UE) nr. 575/2013</w:t>
            </w:r>
            <w:r>
              <w:rPr>
                <w:rStyle w:val="InstructionsTabelleText"/>
                <w:rFonts w:ascii="Times New Roman" w:hAnsi="Times New Roman"/>
                <w:sz w:val="24"/>
              </w:rPr>
              <w:t>.</w:t>
            </w:r>
          </w:p>
        </w:tc>
      </w:tr>
      <w:tr w:rsidR="00A97C62" w:rsidRPr="004B0EC7" w14:paraId="412C0D2A" w14:textId="77777777" w:rsidTr="00E10B85">
        <w:tc>
          <w:tcPr>
            <w:tcW w:w="1016" w:type="dxa"/>
          </w:tcPr>
          <w:p w14:paraId="184EAC6C" w14:textId="26696219" w:rsidR="00A97C62" w:rsidRPr="004B0EC7" w:rsidRDefault="00A97C62" w:rsidP="008F7B97">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4B0EC7" w:rsidRDefault="00A97C62" w:rsidP="008F7B97">
            <w:pPr>
              <w:suppressAutoHyphens/>
              <w:spacing w:before="0" w:after="0"/>
              <w:jc w:val="left"/>
              <w:rPr>
                <w:rFonts w:ascii="Times New Roman" w:hAnsi="Times New Roman"/>
                <w:b/>
                <w:sz w:val="24"/>
                <w:u w:val="single"/>
              </w:rPr>
            </w:pPr>
            <w:r>
              <w:rPr>
                <w:rFonts w:ascii="Times New Roman" w:hAnsi="Times New Roman"/>
                <w:b/>
                <w:sz w:val="24"/>
                <w:u w:val="single"/>
              </w:rPr>
              <w:t>TRATAMENT SPECIFIC PENTRU TRANȘELE DE RANG SUPERIOR DIN SECURITIZĂRILE DE NPE ELIGIBILE</w:t>
            </w:r>
          </w:p>
          <w:p w14:paraId="1D397AE3" w14:textId="76C348BD" w:rsidR="00A97C62" w:rsidRPr="004B0EC7" w:rsidRDefault="00A97C62" w:rsidP="008F7B97">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Articolul </w:t>
            </w:r>
            <w:r>
              <w:rPr>
                <w:rStyle w:val="InstructionsTabelleText"/>
                <w:rFonts w:ascii="Times New Roman" w:hAnsi="Times New Roman"/>
                <w:sz w:val="24"/>
              </w:rPr>
              <w:t>269a</w:t>
            </w:r>
            <w:r>
              <w:rPr>
                <w:rFonts w:ascii="Times New Roman" w:hAnsi="Times New Roman"/>
                <w:sz w:val="24"/>
              </w:rPr>
              <w:t xml:space="preserve"> alineatul (3) din Regulamentul (UE) nr. 575/2013</w:t>
            </w:r>
          </w:p>
        </w:tc>
      </w:tr>
      <w:tr w:rsidR="00C55547" w:rsidRPr="004B0EC7" w14:paraId="5C0D49CC" w14:textId="77777777" w:rsidTr="00E10B85">
        <w:tc>
          <w:tcPr>
            <w:tcW w:w="1016" w:type="dxa"/>
          </w:tcPr>
          <w:p w14:paraId="4A75E404" w14:textId="77777777" w:rsidR="00C55547" w:rsidRPr="004B0EC7" w:rsidRDefault="002F79EA" w:rsidP="008F7B97">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4B0EC7" w:rsidRDefault="00C55547"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ALTELE (RW = 1 250</w:t>
            </w:r>
            <w:r>
              <w:t xml:space="preserve"> </w:t>
            </w:r>
            <w:r>
              <w:rPr>
                <w:rFonts w:ascii="Times New Roman" w:hAnsi="Times New Roman"/>
                <w:b/>
                <w:sz w:val="24"/>
                <w:u w:val="single"/>
              </w:rPr>
              <w:t>%)</w:t>
            </w:r>
          </w:p>
          <w:p w14:paraId="0B94870A" w14:textId="0A4BBAC5" w:rsidR="00C55547" w:rsidRPr="004B0EC7" w:rsidRDefault="00C55547" w:rsidP="008F7B97">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Articolul 254 alineatul (7) </w:t>
            </w:r>
            <w:r>
              <w:rPr>
                <w:rFonts w:ascii="Times New Roman" w:hAnsi="Times New Roman"/>
                <w:sz w:val="24"/>
              </w:rPr>
              <w:t>din Regulamentul (UE) nr. 575/2013</w:t>
            </w:r>
          </w:p>
        </w:tc>
      </w:tr>
      <w:tr w:rsidR="00C55547" w:rsidRPr="004B0EC7" w14:paraId="16A48520" w14:textId="77777777" w:rsidTr="00E10B85">
        <w:tc>
          <w:tcPr>
            <w:tcW w:w="1016" w:type="dxa"/>
          </w:tcPr>
          <w:p w14:paraId="04D4F5AC" w14:textId="77777777" w:rsidR="00C55547" w:rsidRPr="004B0EC7" w:rsidRDefault="002F79EA" w:rsidP="008F7B97">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ÎNAINTE DE APLICAREA PLAFONULUI – POZIȚII NETE PONDERATE LUNGI/SCURTE</w:t>
            </w:r>
          </w:p>
          <w:p w14:paraId="7E8A31C6" w14:textId="04B0137F" w:rsidR="00C55547" w:rsidRPr="004B0EC7" w:rsidRDefault="00C55547" w:rsidP="008F7B97">
            <w:pPr>
              <w:suppressAutoHyphens/>
              <w:rPr>
                <w:rFonts w:ascii="Times New Roman" w:hAnsi="Times New Roman"/>
                <w:sz w:val="24"/>
              </w:rPr>
            </w:pPr>
            <w:r>
              <w:rPr>
                <w:rFonts w:ascii="Times New Roman" w:hAnsi="Times New Roman"/>
                <w:sz w:val="24"/>
              </w:rPr>
              <w:t xml:space="preserve">Articolul 338 din Regulamentul (UE) nr. 575/2013, fără a ține seama de marja de apreciere prevăzută la articolul 335 din regulamentul respectiv </w:t>
            </w:r>
          </w:p>
        </w:tc>
      </w:tr>
      <w:tr w:rsidR="00C55547" w:rsidRPr="004B0EC7" w14:paraId="566ACCB3" w14:textId="77777777" w:rsidTr="00E10B85">
        <w:tc>
          <w:tcPr>
            <w:tcW w:w="1016" w:type="dxa"/>
          </w:tcPr>
          <w:p w14:paraId="4093CA68" w14:textId="77777777" w:rsidR="00C55547" w:rsidRPr="004B0EC7" w:rsidRDefault="002F79EA" w:rsidP="008F7B97">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DUPĂ APLICAREA PLAFONULUI – POZIȚII NETE PONDERATE LUNGI/SCURTE</w:t>
            </w:r>
          </w:p>
          <w:p w14:paraId="3304B399" w14:textId="1538540C" w:rsidR="00C55547" w:rsidRPr="004B0EC7" w:rsidRDefault="00C55547" w:rsidP="008F7B97">
            <w:pPr>
              <w:suppressAutoHyphens/>
              <w:rPr>
                <w:rFonts w:ascii="Times New Roman" w:hAnsi="Times New Roman"/>
                <w:sz w:val="24"/>
              </w:rPr>
            </w:pPr>
            <w:r>
              <w:rPr>
                <w:rFonts w:ascii="Times New Roman" w:hAnsi="Times New Roman"/>
                <w:sz w:val="24"/>
              </w:rPr>
              <w:t xml:space="preserve">Articolul 338 din Regulamentul (UE) nr. 575/2013, ținând seama de marja de apreciere prevăzută la articolul 335 din regulamentul respectiv </w:t>
            </w:r>
          </w:p>
        </w:tc>
      </w:tr>
      <w:tr w:rsidR="00C55547" w:rsidRPr="004B0EC7" w14:paraId="23063B74" w14:textId="77777777" w:rsidTr="00E10B85">
        <w:tc>
          <w:tcPr>
            <w:tcW w:w="1016" w:type="dxa"/>
          </w:tcPr>
          <w:p w14:paraId="5A3BC562" w14:textId="77777777" w:rsidR="00C55547" w:rsidRPr="004B0EC7" w:rsidRDefault="002F79EA" w:rsidP="008F7B97">
            <w:pPr>
              <w:suppressAutoHyphens/>
              <w:rPr>
                <w:rFonts w:ascii="Times New Roman" w:hAnsi="Times New Roman"/>
                <w:sz w:val="24"/>
              </w:rPr>
            </w:pPr>
            <w:r>
              <w:rPr>
                <w:rFonts w:ascii="Times New Roman" w:hAnsi="Times New Roman"/>
                <w:sz w:val="24"/>
              </w:rPr>
              <w:t>0450</w:t>
            </w:r>
          </w:p>
        </w:tc>
        <w:tc>
          <w:tcPr>
            <w:tcW w:w="7874" w:type="dxa"/>
          </w:tcPr>
          <w:p w14:paraId="4210145F" w14:textId="7D6EC5B6"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TOTAL CERINȚE DE FONDURI PROPRII ÎNAINTE DE APLICAREA FACTORULUI DE MULTIPLICARE</w:t>
            </w:r>
          </w:p>
          <w:p w14:paraId="7DEA5D32" w14:textId="77777777" w:rsidR="00C55547" w:rsidRPr="004B0EC7" w:rsidRDefault="00C55547" w:rsidP="008F7B97">
            <w:pPr>
              <w:suppressAutoHyphens/>
              <w:rPr>
                <w:rFonts w:ascii="Times New Roman" w:hAnsi="Times New Roman"/>
                <w:sz w:val="24"/>
              </w:rPr>
            </w:pPr>
            <w:r>
              <w:rPr>
                <w:rFonts w:ascii="Times New Roman" w:hAnsi="Times New Roman"/>
                <w:sz w:val="24"/>
              </w:rPr>
              <w:t>Cerința de fonduri proprii este determinată ca cea mai mare dintre (i) cerința pentru riscul specific care s-ar aplica numai pozițiilor nete lungi (coloana 0430) și (ii) cerința pentru riscul specific care s-ar aplica numai pozițiilor nete scurte (coloana 0440).</w:t>
            </w:r>
          </w:p>
        </w:tc>
      </w:tr>
    </w:tbl>
    <w:p w14:paraId="4123A762" w14:textId="77777777" w:rsidR="00C55547" w:rsidRPr="004B0EC7" w:rsidRDefault="00C55547" w:rsidP="008F7B97">
      <w:pPr>
        <w:suppressAutoHyphens/>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8F7B97">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8F7B97">
            <w:pPr>
              <w:suppressAutoHyphens/>
              <w:autoSpaceDE w:val="0"/>
              <w:autoSpaceDN w:val="0"/>
              <w:adjustRightInd w:val="0"/>
              <w:spacing w:after="0"/>
              <w:rPr>
                <w:rFonts w:ascii="Times New Roman" w:hAnsi="Times New Roman"/>
                <w:b/>
                <w:sz w:val="24"/>
              </w:rPr>
            </w:pPr>
            <w:r>
              <w:rPr>
                <w:rFonts w:ascii="Times New Roman" w:hAnsi="Times New Roman"/>
                <w:b/>
                <w:sz w:val="24"/>
              </w:rPr>
              <w:t>Rânduri</w:t>
            </w:r>
          </w:p>
        </w:tc>
      </w:tr>
      <w:tr w:rsidR="00C55547" w:rsidRPr="004B0EC7" w14:paraId="51303CB0" w14:textId="77777777" w:rsidTr="00E10B85">
        <w:tc>
          <w:tcPr>
            <w:tcW w:w="1008" w:type="dxa"/>
          </w:tcPr>
          <w:p w14:paraId="4EF580E7"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EXPUNERI TOTALE</w:t>
            </w:r>
          </w:p>
          <w:p w14:paraId="47BDA358" w14:textId="77777777" w:rsidR="00C55547" w:rsidRPr="004B0EC7" w:rsidRDefault="00C55547" w:rsidP="008F7B97">
            <w:pPr>
              <w:suppressAutoHyphens/>
              <w:rPr>
                <w:rFonts w:ascii="Times New Roman" w:hAnsi="Times New Roman"/>
                <w:sz w:val="24"/>
              </w:rPr>
            </w:pPr>
            <w:r>
              <w:rPr>
                <w:rFonts w:ascii="Times New Roman" w:hAnsi="Times New Roman"/>
                <w:sz w:val="24"/>
              </w:rPr>
              <w:t>Cuantumul total al pozițiilor în sold (deținute în portofoliul de tranzacționare pe bază de corelație) raportat de către instituția care îndeplinește rolul/rolurile de inițiator, investitor sau sponsor.</w:t>
            </w:r>
          </w:p>
        </w:tc>
      </w:tr>
      <w:tr w:rsidR="00C55547" w:rsidRPr="004B0EC7" w14:paraId="4F9E3B66" w14:textId="77777777" w:rsidTr="00E10B85">
        <w:tc>
          <w:tcPr>
            <w:tcW w:w="1008" w:type="dxa"/>
          </w:tcPr>
          <w:p w14:paraId="4294FDFC"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68E0826A"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INIȚIATOR</w:t>
            </w:r>
          </w:p>
          <w:p w14:paraId="07F7FC7F" w14:textId="691C5D11" w:rsidR="00C55547" w:rsidRPr="004B0EC7" w:rsidRDefault="00C55547" w:rsidP="008F7B97">
            <w:pPr>
              <w:suppressAutoHyphens/>
              <w:rPr>
                <w:rFonts w:ascii="Times New Roman" w:hAnsi="Times New Roman"/>
                <w:sz w:val="24"/>
              </w:rPr>
            </w:pPr>
            <w:r>
              <w:rPr>
                <w:rFonts w:ascii="Times New Roman" w:hAnsi="Times New Roman"/>
                <w:sz w:val="24"/>
              </w:rPr>
              <w:t xml:space="preserve">Articolul 4 alineatul (1) punctul 13 din Regulamentul (UE) nr. 575/2013 </w:t>
            </w:r>
          </w:p>
        </w:tc>
      </w:tr>
      <w:tr w:rsidR="00C55547" w:rsidRPr="004B0EC7" w14:paraId="1113CFCE" w14:textId="77777777" w:rsidTr="00E10B85">
        <w:tc>
          <w:tcPr>
            <w:tcW w:w="1008" w:type="dxa"/>
          </w:tcPr>
          <w:p w14:paraId="045998CB"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INVESTITOR</w:t>
            </w:r>
          </w:p>
          <w:p w14:paraId="5507389D" w14:textId="77777777" w:rsidR="00C55547" w:rsidRPr="004B0EC7" w:rsidRDefault="00C55547" w:rsidP="008F7B97">
            <w:pPr>
              <w:suppressAutoHyphens/>
              <w:rPr>
                <w:rFonts w:ascii="Times New Roman" w:hAnsi="Times New Roman"/>
                <w:sz w:val="24"/>
              </w:rPr>
            </w:pPr>
            <w:r>
              <w:rPr>
                <w:rFonts w:ascii="Times New Roman" w:hAnsi="Times New Roman"/>
                <w:sz w:val="24"/>
              </w:rPr>
              <w:t>Instituția de credit care deține o poziție din securitizare într-o tranzacție de securitizare pentru care nu este nici inițiator, nici sponsor și nici creditor inițial.</w:t>
            </w:r>
          </w:p>
        </w:tc>
      </w:tr>
      <w:tr w:rsidR="00C55547" w:rsidRPr="004B0EC7" w14:paraId="3AE4557E" w14:textId="77777777" w:rsidTr="00E10B85">
        <w:tc>
          <w:tcPr>
            <w:tcW w:w="1008" w:type="dxa"/>
          </w:tcPr>
          <w:p w14:paraId="4017D379"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SPONSOR</w:t>
            </w:r>
          </w:p>
          <w:p w14:paraId="65D6B605" w14:textId="002B3FBA" w:rsidR="005C14B0" w:rsidRPr="004B0EC7" w:rsidRDefault="00E64BFE" w:rsidP="008F7B97">
            <w:pPr>
              <w:suppressAutoHyphens/>
              <w:rPr>
                <w:rFonts w:ascii="Times New Roman" w:hAnsi="Times New Roman"/>
                <w:sz w:val="24"/>
              </w:rPr>
            </w:pPr>
            <w:r>
              <w:rPr>
                <w:rFonts w:ascii="Times New Roman" w:hAnsi="Times New Roman"/>
                <w:sz w:val="24"/>
              </w:rPr>
              <w:t xml:space="preserve"> Articolul 4 alineatul (1) punctul 14 din Regulamentul (UE) nr. 575/2013 </w:t>
            </w:r>
          </w:p>
          <w:p w14:paraId="7911CCA2" w14:textId="77777777" w:rsidR="00C55547" w:rsidRPr="004B0EC7" w:rsidRDefault="005F3BBE" w:rsidP="008F7B97">
            <w:pPr>
              <w:suppressAutoHyphens/>
              <w:rPr>
                <w:rFonts w:ascii="Times New Roman" w:hAnsi="Times New Roman"/>
                <w:sz w:val="24"/>
              </w:rPr>
            </w:pPr>
            <w:r>
              <w:rPr>
                <w:rFonts w:ascii="Times New Roman" w:hAnsi="Times New Roman"/>
                <w:sz w:val="24"/>
              </w:rPr>
              <w:t>Un sponsor care securitizează și active proprii trebuie să completeze rândurile aferente inițiatorului cu informațiile referitoare la activele proprii securitizate.</w:t>
            </w:r>
          </w:p>
        </w:tc>
      </w:tr>
      <w:tr w:rsidR="00C55547" w:rsidRPr="004B0EC7" w14:paraId="5A0251A3" w14:textId="77777777" w:rsidTr="00E10B85">
        <w:tc>
          <w:tcPr>
            <w:tcW w:w="1008" w:type="dxa"/>
          </w:tcPr>
          <w:p w14:paraId="64B09950"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0030, 0060 și 0090</w:t>
            </w:r>
          </w:p>
        </w:tc>
        <w:tc>
          <w:tcPr>
            <w:tcW w:w="8204" w:type="dxa"/>
          </w:tcPr>
          <w:p w14:paraId="65F68A65"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POZIȚII DIN SECURITIZARE</w:t>
            </w:r>
          </w:p>
          <w:p w14:paraId="3E2839F4" w14:textId="4835C00E" w:rsidR="00C55547" w:rsidRPr="004B0EC7" w:rsidRDefault="00C55547" w:rsidP="008F7B97">
            <w:pPr>
              <w:suppressAutoHyphens/>
              <w:rPr>
                <w:rFonts w:ascii="Times New Roman" w:hAnsi="Times New Roman"/>
                <w:sz w:val="24"/>
              </w:rPr>
            </w:pPr>
            <w:r>
              <w:rPr>
                <w:rFonts w:ascii="Times New Roman" w:hAnsi="Times New Roman"/>
                <w:sz w:val="24"/>
              </w:rPr>
              <w:t>Portofoliul de tranzacționare pe bază de corelație cuprinde securitizări, instrumente financiare derivate de credit de tip «n-th-to-default» și, eventual, alte poziții de acoperire împotriva riscurilor care îndeplinesc criteriile prevăzute la articolul 338 alineatele (2) și (3) din Regulamentul (UE) nr. 575/2013.</w:t>
            </w:r>
          </w:p>
          <w:p w14:paraId="284429BF" w14:textId="77777777" w:rsidR="00C55547" w:rsidRPr="004B0EC7" w:rsidRDefault="00C55547" w:rsidP="008F7B97">
            <w:pPr>
              <w:suppressAutoHyphens/>
              <w:rPr>
                <w:rFonts w:ascii="Times New Roman" w:hAnsi="Times New Roman"/>
                <w:sz w:val="24"/>
              </w:rPr>
            </w:pPr>
            <w:r>
              <w:rPr>
                <w:rFonts w:ascii="Times New Roman" w:hAnsi="Times New Roman"/>
                <w:sz w:val="24"/>
              </w:rPr>
              <w:t>Instrumentele financiare derivate ale expunerilor din securitizare care oferă o repartizare proporțională, precum și pozițiile care acoperă poziții din portofoliul de tranzacționare pe bază de corelație trebuie incluse pe rândul «Alte poziții din portofoliul de tranzacționare pe bază de corelație».</w:t>
            </w:r>
          </w:p>
        </w:tc>
      </w:tr>
      <w:tr w:rsidR="00C55547" w:rsidRPr="004B0EC7" w14:paraId="310FE06B" w14:textId="77777777" w:rsidTr="00E10B85">
        <w:tc>
          <w:tcPr>
            <w:tcW w:w="1008" w:type="dxa"/>
          </w:tcPr>
          <w:p w14:paraId="2602BE79"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INSTRUMENTE FINANCIARE DERIVATE DE CREDIT DE TIPUL NTH-TO-DEFAULT</w:t>
            </w:r>
          </w:p>
          <w:p w14:paraId="298FC0AB" w14:textId="1129643E" w:rsidR="00C55547" w:rsidRPr="004B0EC7" w:rsidRDefault="00C55547" w:rsidP="008F7B97">
            <w:pPr>
              <w:suppressAutoHyphens/>
              <w:rPr>
                <w:rFonts w:ascii="Times New Roman" w:hAnsi="Times New Roman"/>
                <w:sz w:val="24"/>
              </w:rPr>
            </w:pPr>
            <w:r>
              <w:rPr>
                <w:rFonts w:ascii="Times New Roman" w:hAnsi="Times New Roman"/>
                <w:sz w:val="24"/>
              </w:rPr>
              <w:t>Aici se raportează instrumentele financiare derivate de credit de tipul «n-th-to-default» care sunt acoperite prin instrumente financiare derivate de credit de tipul «n-th-to-default» în conformitate cu articolul 347 Regulamentul (UE) nr.</w:t>
            </w:r>
            <w:r w:rsidR="008F7B97">
              <w:rPr>
                <w:rFonts w:ascii="Times New Roman" w:hAnsi="Times New Roman"/>
                <w:sz w:val="24"/>
              </w:rPr>
              <w:t> </w:t>
            </w:r>
            <w:r>
              <w:rPr>
                <w:rFonts w:ascii="Times New Roman" w:hAnsi="Times New Roman"/>
                <w:sz w:val="24"/>
              </w:rPr>
              <w:t>575/2013.</w:t>
            </w:r>
          </w:p>
          <w:p w14:paraId="0ADF3C10" w14:textId="77777777" w:rsidR="00C55547" w:rsidRPr="004B0EC7" w:rsidRDefault="00C55547" w:rsidP="008F7B97">
            <w:pPr>
              <w:suppressAutoHyphens/>
              <w:rPr>
                <w:rFonts w:ascii="Times New Roman" w:hAnsi="Times New Roman"/>
                <w:sz w:val="24"/>
              </w:rPr>
            </w:pPr>
            <w:r>
              <w:rPr>
                <w:rFonts w:ascii="Times New Roman" w:hAnsi="Times New Roman"/>
                <w:sz w:val="24"/>
              </w:rPr>
              <w:t>Inițiatorul, investitorul și sponsorul pozițiilor nu se încadrează la instrumentele financiare derivate de credit de tipul «n-th-to-default». În consecință, în cazul instrumentelor financiare derivate de credit de tipul «n-th-to-default» nu se poate realiza o defalcare similară cu cea realizată în cazul pozițiilor din securitizare.</w:t>
            </w:r>
          </w:p>
        </w:tc>
      </w:tr>
      <w:tr w:rsidR="00C55547" w:rsidRPr="004B0EC7" w14:paraId="3804EA7A" w14:textId="77777777" w:rsidTr="00E10B85">
        <w:tc>
          <w:tcPr>
            <w:tcW w:w="1008" w:type="dxa"/>
          </w:tcPr>
          <w:p w14:paraId="492141F6" w14:textId="77777777" w:rsidR="00C55547"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și 0120</w:t>
            </w:r>
          </w:p>
        </w:tc>
        <w:tc>
          <w:tcPr>
            <w:tcW w:w="8204" w:type="dxa"/>
          </w:tcPr>
          <w:p w14:paraId="1BEC5316" w14:textId="77777777" w:rsidR="00C55547" w:rsidRPr="004B0EC7" w:rsidRDefault="00C55547" w:rsidP="008F7B97">
            <w:pPr>
              <w:suppressAutoHyphens/>
              <w:rPr>
                <w:rStyle w:val="InstructionsTabelleberschrift"/>
                <w:rFonts w:ascii="Times New Roman" w:hAnsi="Times New Roman"/>
                <w:sz w:val="24"/>
              </w:rPr>
            </w:pPr>
            <w:r>
              <w:rPr>
                <w:rStyle w:val="InstructionsTabelleberschrift"/>
                <w:rFonts w:ascii="Times New Roman" w:hAnsi="Times New Roman"/>
                <w:sz w:val="24"/>
              </w:rPr>
              <w:t>ALTE POZIȚII CTP</w:t>
            </w:r>
          </w:p>
          <w:p w14:paraId="543C28DD" w14:textId="77777777" w:rsidR="00C55547" w:rsidRPr="004B0EC7" w:rsidRDefault="00C55547" w:rsidP="008F7B97">
            <w:pPr>
              <w:suppressAutoHyphens/>
              <w:rPr>
                <w:rFonts w:ascii="Times New Roman" w:hAnsi="Times New Roman"/>
                <w:sz w:val="24"/>
              </w:rPr>
            </w:pPr>
            <w:r>
              <w:rPr>
                <w:rFonts w:ascii="Times New Roman" w:hAnsi="Times New Roman"/>
                <w:sz w:val="24"/>
              </w:rPr>
              <w:t xml:space="preserve">Sunt incluse următoarele poziții: </w:t>
            </w:r>
          </w:p>
          <w:p w14:paraId="22F89721" w14:textId="77777777" w:rsidR="00C55547" w:rsidRPr="004B0EC7" w:rsidRDefault="00C55547" w:rsidP="008F7B97">
            <w:pPr>
              <w:tabs>
                <w:tab w:val="left" w:pos="720"/>
              </w:tabs>
              <w:suppressAutoHyphen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instrumentele financiare derivate ale unor expuneri din securitizare care oferă o repartizare proporțională, precum și pozițiile care acoperă poziții din portofoliul de tranzacționare pe bază de corelație;</w:t>
            </w:r>
          </w:p>
          <w:p w14:paraId="35CA9598" w14:textId="4A9D4754" w:rsidR="00C55547" w:rsidRPr="004B0EC7" w:rsidRDefault="00C55547" w:rsidP="008F7B97">
            <w:pPr>
              <w:tabs>
                <w:tab w:val="left" w:pos="720"/>
              </w:tabs>
              <w:suppressAutoHyphen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pozițiile din portofoliul de tranzacționare pe bază de corelație acoperite prin instrumente financiare derivate de credit, în conformitate cu articolul 346 din Regulamentul (UE) nr. 575/2013;</w:t>
            </w:r>
          </w:p>
          <w:p w14:paraId="37D9C26F" w14:textId="0EC62F4B" w:rsidR="00C55547" w:rsidRPr="004B0EC7" w:rsidRDefault="00C55547" w:rsidP="008F7B97">
            <w:pPr>
              <w:tabs>
                <w:tab w:val="left" w:pos="720"/>
              </w:tabs>
              <w:suppressAutoHyphen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alte poziții care îndeplinesc cerințele de la articolul 338 alineatul (3) din Regulamentul (UE) nr. 575/2013.</w:t>
            </w:r>
          </w:p>
        </w:tc>
      </w:tr>
    </w:tbl>
    <w:p w14:paraId="2FA40F1B"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rFonts w:ascii="Times New Roman" w:hAnsi="Times New Roman"/>
          <w:sz w:val="24"/>
          <w:u w:val="none"/>
        </w:rPr>
        <w:lastRenderedPageBreak/>
        <w:t>5.4.</w:t>
      </w:r>
      <w:r>
        <w:rPr>
          <w:rFonts w:ascii="Times New Roman" w:hAnsi="Times New Roman"/>
          <w:sz w:val="24"/>
          <w:u w:val="none"/>
        </w:rPr>
        <w:tab/>
      </w:r>
      <w:r>
        <w:rPr>
          <w:rFonts w:ascii="Times New Roman" w:hAnsi="Times New Roman"/>
          <w:sz w:val="24"/>
        </w:rPr>
        <w:t>C 21.01 – Riscul de piață: abordarea standardizată simplificată pentru riscul de poziție aferent titlurilor de capital</w:t>
      </w:r>
      <w:bookmarkEnd w:id="82"/>
      <w:bookmarkEnd w:id="83"/>
      <w:bookmarkEnd w:id="84"/>
      <w:bookmarkEnd w:id="85"/>
      <w:bookmarkEnd w:id="86"/>
      <w:r>
        <w:rPr>
          <w:rFonts w:ascii="Times New Roman" w:hAnsi="Times New Roman"/>
          <w:sz w:val="24"/>
        </w:rPr>
        <w:t xml:space="preserve"> (MKR SSA EQU)</w:t>
      </w:r>
      <w:bookmarkEnd w:id="87"/>
      <w:bookmarkEnd w:id="88"/>
    </w:p>
    <w:p w14:paraId="28B3FACA" w14:textId="77777777"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rFonts w:ascii="Times New Roman" w:hAnsi="Times New Roman"/>
          <w:sz w:val="24"/>
          <w:u w:val="none"/>
        </w:rPr>
        <w:t>5.4.1.</w:t>
      </w:r>
      <w:r>
        <w:rPr>
          <w:rFonts w:ascii="Times New Roman" w:hAnsi="Times New Roman"/>
          <w:sz w:val="24"/>
          <w:u w:val="none"/>
        </w:rPr>
        <w:tab/>
      </w:r>
      <w:r>
        <w:rPr>
          <w:rFonts w:ascii="Times New Roman" w:hAnsi="Times New Roman"/>
          <w:sz w:val="24"/>
        </w:rPr>
        <w:t>Observații generale</w:t>
      </w:r>
      <w:bookmarkEnd w:id="89"/>
      <w:bookmarkEnd w:id="90"/>
      <w:bookmarkEnd w:id="91"/>
      <w:bookmarkEnd w:id="92"/>
      <w:bookmarkEnd w:id="93"/>
      <w:bookmarkEnd w:id="94"/>
      <w:bookmarkEnd w:id="95"/>
    </w:p>
    <w:p w14:paraId="1BA8EF6D" w14:textId="171A3E6F" w:rsidR="000B0B09" w:rsidRPr="004B0EC7" w:rsidRDefault="008F3052" w:rsidP="008F7B97">
      <w:pPr>
        <w:pStyle w:val="InstructionsText2"/>
        <w:numPr>
          <w:ilvl w:val="0"/>
          <w:numId w:val="0"/>
        </w:numPr>
        <w:suppressAutoHyphens/>
        <w:ind w:left="993"/>
      </w:pPr>
      <w:r w:rsidRPr="004B0EC7">
        <w:fldChar w:fldCharType="begin"/>
      </w:r>
      <w:r w:rsidRPr="004B0EC7">
        <w:instrText>seq paragraphs</w:instrText>
      </w:r>
      <w:r w:rsidRPr="004B0EC7">
        <w:fldChar w:fldCharType="separate"/>
      </w:r>
      <w:r w:rsidR="00771068" w:rsidRPr="004B0EC7">
        <w:t>169</w:t>
      </w:r>
      <w:r w:rsidRPr="004B0EC7">
        <w:fldChar w:fldCharType="end"/>
      </w:r>
      <w:r>
        <w:t>.</w:t>
      </w:r>
      <w:r>
        <w:tab/>
        <w:t xml:space="preserve"> Acest formular prevede furnizarea de informații privind pozițiile și cerințele de fonduri proprii corespunzătoare pentru riscul de poziție aferent titlurilor de capital deținute în portofoliul de tranzacționare și tratate conform abordării standardizate.</w:t>
      </w:r>
    </w:p>
    <w:p w14:paraId="3AF5EC7C" w14:textId="2604BD99" w:rsidR="00B828CC" w:rsidRPr="004B0EC7" w:rsidRDefault="008F3052" w:rsidP="008F7B97">
      <w:pPr>
        <w:pStyle w:val="InstructionsText2"/>
        <w:numPr>
          <w:ilvl w:val="0"/>
          <w:numId w:val="0"/>
        </w:numPr>
        <w:suppressAutoHyphens/>
        <w:ind w:left="993"/>
      </w:pPr>
      <w:r w:rsidRPr="004B0EC7">
        <w:fldChar w:fldCharType="begin"/>
      </w:r>
      <w:r w:rsidRPr="004B0EC7">
        <w:instrText>seq paragraphs</w:instrText>
      </w:r>
      <w:r w:rsidRPr="004B0EC7">
        <w:fldChar w:fldCharType="separate"/>
      </w:r>
      <w:r w:rsidR="00771068" w:rsidRPr="004B0EC7">
        <w:t>170</w:t>
      </w:r>
      <w:r w:rsidRPr="004B0EC7">
        <w:fldChar w:fldCharType="end"/>
      </w:r>
      <w:r>
        <w:t>.</w:t>
      </w:r>
      <w:r>
        <w:tab/>
        <w:t xml:space="preserve"> Formularul trebuie completat separat pentru «Total», precum și pentru o listă statică prestabilită cuprinzând piețele următoare: Bulgaria, Republica Cehă, Danemarca, Egipt, Ungaria, Islanda, Liechtenstein, Norvegia, Polonia, România, Suedia, Regatul Unit, Albania, Japonia, fosta Republică iugoslavă a Macedoniei, Federația Rusă, Serbia, Elveția, Turcia, Ucraina, SUA, zona euro, precum și un formular rezidual pentru toate celelalte piețe. În sensul prezentei cerințe de raportare, termenul «piață» are înțelesul de «țară» [cu excepția țărilor din zona euro, a se vedea Regulamentul delegat (UE) nr. 525/2014 al Comisiei</w:t>
      </w:r>
      <w:r w:rsidR="00B828CC" w:rsidRPr="004B0EC7">
        <w:rPr>
          <w:rStyle w:val="FootnoteReference"/>
        </w:rPr>
        <w:footnoteReference w:id="2"/>
      </w:r>
      <w:r>
        <w:t>].</w:t>
      </w:r>
    </w:p>
    <w:p w14:paraId="077E1A41" w14:textId="0A87F237"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rFonts w:ascii="Times New Roman" w:hAnsi="Times New Roman"/>
          <w:sz w:val="24"/>
          <w:u w:val="none"/>
        </w:rPr>
        <w:t>5.4.2.</w:t>
      </w:r>
      <w:r>
        <w:rPr>
          <w:rFonts w:ascii="Times New Roman" w:hAnsi="Times New Roman"/>
          <w:sz w:val="24"/>
          <w:u w:val="none"/>
        </w:rPr>
        <w:tab/>
      </w:r>
      <w:r>
        <w:rPr>
          <w:rFonts w:ascii="Times New Roman" w:hAnsi="Times New Roman"/>
          <w:sz w:val="24"/>
        </w:rPr>
        <w:t>Instrucțiuni privind anumite poziții</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8F7B97">
            <w:pPr>
              <w:suppressAutoHyphens/>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4B0EC7" w14:paraId="1B6DCA2D" w14:textId="77777777" w:rsidTr="00672D2A">
        <w:tc>
          <w:tcPr>
            <w:tcW w:w="988" w:type="dxa"/>
          </w:tcPr>
          <w:p w14:paraId="2E10DD05"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4B0EC7" w:rsidRDefault="000B0B09" w:rsidP="008F7B97">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TOATE POZIȚIILE (LUNGI ȘI SCURTE)</w:t>
            </w:r>
          </w:p>
          <w:p w14:paraId="754457ED" w14:textId="6411188D" w:rsidR="005C14B0" w:rsidRPr="004B0EC7" w:rsidRDefault="000B0B09" w:rsidP="008F7B97">
            <w:pPr>
              <w:suppressAutoHyphens/>
              <w:autoSpaceDE w:val="0"/>
              <w:autoSpaceDN w:val="0"/>
              <w:adjustRightInd w:val="0"/>
              <w:spacing w:before="0"/>
              <w:rPr>
                <w:rFonts w:ascii="Times New Roman" w:hAnsi="Times New Roman"/>
                <w:sz w:val="24"/>
              </w:rPr>
            </w:pPr>
            <w:r>
              <w:rPr>
                <w:rFonts w:ascii="Times New Roman" w:hAnsi="Times New Roman"/>
                <w:sz w:val="24"/>
              </w:rPr>
              <w:t xml:space="preserve">Articolul 102 și articolul 105 alineatul (1) din Regulamentul (UE) nr. 575/2013. </w:t>
            </w:r>
          </w:p>
          <w:p w14:paraId="59EE061F" w14:textId="7EE7BDEC" w:rsidR="000B0B09" w:rsidRPr="004B0EC7" w:rsidRDefault="000B0B09" w:rsidP="008F7B97">
            <w:pPr>
              <w:suppressAutoHyphens/>
              <w:autoSpaceDE w:val="0"/>
              <w:autoSpaceDN w:val="0"/>
              <w:adjustRightInd w:val="0"/>
              <w:spacing w:before="0"/>
              <w:rPr>
                <w:rFonts w:ascii="Times New Roman" w:hAnsi="Times New Roman"/>
                <w:sz w:val="24"/>
              </w:rPr>
            </w:pPr>
            <w:r>
              <w:rPr>
                <w:rFonts w:ascii="Times New Roman" w:hAnsi="Times New Roman"/>
                <w:sz w:val="24"/>
              </w:rPr>
              <w:t xml:space="preserve">Acestea sunt poziții brute, necompensate cu instrumente, excluzând însă pozițiile aferente angajamentelor de preluare fermă subscrise sau subangajate de către terțe părți menționate la articolul 345 alineatul (1) primul paragraf a doua teză din Regulamentul (UE) nr. 575/2013. </w:t>
            </w:r>
          </w:p>
        </w:tc>
      </w:tr>
      <w:tr w:rsidR="000B0B09" w:rsidRPr="004B0EC7" w14:paraId="518A8218" w14:textId="77777777" w:rsidTr="00672D2A">
        <w:tc>
          <w:tcPr>
            <w:tcW w:w="988" w:type="dxa"/>
          </w:tcPr>
          <w:p w14:paraId="5DF1DDF0"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NETE (LUNGI ȘI SCURTE)</w:t>
            </w:r>
          </w:p>
          <w:p w14:paraId="72A57BC7" w14:textId="1B6E0BBC" w:rsidR="000B0B09" w:rsidRPr="004B0EC7" w:rsidRDefault="000B0B09" w:rsidP="008F7B97">
            <w:pPr>
              <w:suppressAutoHyphens/>
              <w:autoSpaceDE w:val="0"/>
              <w:autoSpaceDN w:val="0"/>
              <w:adjustRightInd w:val="0"/>
              <w:rPr>
                <w:rFonts w:ascii="Times New Roman" w:hAnsi="Times New Roman"/>
                <w:sz w:val="24"/>
              </w:rPr>
            </w:pPr>
            <w:r>
              <w:rPr>
                <w:rFonts w:ascii="Times New Roman" w:hAnsi="Times New Roman"/>
                <w:sz w:val="24"/>
              </w:rPr>
              <w:t xml:space="preserve">Articolele 327, 329, 332, 341 și 345 din Regulamentul (UE) nr. 575/2013. </w:t>
            </w:r>
          </w:p>
        </w:tc>
      </w:tr>
      <w:tr w:rsidR="000B0B09" w:rsidRPr="004B0EC7" w14:paraId="1ED40A34" w14:textId="77777777" w:rsidTr="00672D2A">
        <w:tc>
          <w:tcPr>
            <w:tcW w:w="988" w:type="dxa"/>
          </w:tcPr>
          <w:p w14:paraId="49ADB5D9"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4B0EC7" w:rsidRDefault="000B0B09" w:rsidP="008F7B97">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w:t>
            </w:r>
          </w:p>
          <w:p w14:paraId="5B62E698" w14:textId="56A23293" w:rsidR="000B0B09" w:rsidRPr="004B0EC7" w:rsidRDefault="000B0B09" w:rsidP="008F7B97">
            <w:pPr>
              <w:suppressAutoHyphens/>
              <w:autoSpaceDE w:val="0"/>
              <w:autoSpaceDN w:val="0"/>
              <w:adjustRightInd w:val="0"/>
              <w:spacing w:after="0"/>
              <w:rPr>
                <w:rFonts w:ascii="Times New Roman" w:hAnsi="Times New Roman"/>
                <w:sz w:val="24"/>
              </w:rPr>
            </w:pPr>
            <w:r>
              <w:rPr>
                <w:rFonts w:ascii="Times New Roman" w:hAnsi="Times New Roman"/>
                <w:sz w:val="24"/>
              </w:rPr>
              <w:t>Pozițiile nete care, în conformitate cu diferitele abordări avute în vedere în partea a treia titlul IV capitolul 2 din Regulamentul (UE) nr. 575/2013, sunt supuse unei cerințe de capital. Cerința de capital trebuie să fie calculată separat pentru fiecare piață națională. Pozițiile pe contracte futures pe indici bursieri menționate la articolul 344 alineatul (4) a doua teză din Regulamentul (UE) nr. 575/2013 nu se includ în această coloană.</w:t>
            </w:r>
          </w:p>
          <w:p w14:paraId="7C352B88"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679461BC" w:rsidR="000B0B09" w:rsidRPr="004B0EC7" w:rsidRDefault="000B0B09" w:rsidP="008F7B97">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 ÎNAINTE DE APLICAREA FACTORILOR DE MULTIPLICARE</w:t>
            </w:r>
          </w:p>
          <w:p w14:paraId="75CDA27D" w14:textId="1AD90BE9" w:rsidR="000B0B09" w:rsidRPr="004B0EC7" w:rsidRDefault="000B0B09" w:rsidP="008F7B97">
            <w:pPr>
              <w:suppressAutoHyphens/>
              <w:autoSpaceDE w:val="0"/>
              <w:autoSpaceDN w:val="0"/>
              <w:adjustRightInd w:val="0"/>
              <w:spacing w:after="0"/>
              <w:rPr>
                <w:rFonts w:ascii="Times New Roman" w:hAnsi="Times New Roman"/>
                <w:sz w:val="24"/>
              </w:rPr>
            </w:pPr>
            <w:r>
              <w:rPr>
                <w:rFonts w:ascii="Times New Roman" w:hAnsi="Times New Roman"/>
                <w:sz w:val="24"/>
              </w:rPr>
              <w:t xml:space="preserve">Cerința de fonduri proprii în conformitate cu partea a treia titlul IV capitolul 2 din Regulamentul (UE) nr. 575/2013 pentru orice poziție relevantă, înainte de </w:t>
            </w:r>
            <w:r>
              <w:rPr>
                <w:rFonts w:ascii="Times New Roman" w:hAnsi="Times New Roman"/>
                <w:sz w:val="24"/>
              </w:rPr>
              <w:lastRenderedPageBreak/>
              <w:t>aplicarea factorilor de multiplicare prevăzuți la articolul 325 alineatul (2) litera (a) punctul (ii) din regulamentul respectiv.</w:t>
            </w:r>
          </w:p>
          <w:p w14:paraId="6CDF917D" w14:textId="77777777" w:rsidR="000B0B09" w:rsidRPr="004B0EC7" w:rsidRDefault="000B0B09" w:rsidP="008F7B97">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4" w:type="dxa"/>
          </w:tcPr>
          <w:p w14:paraId="1A727463" w14:textId="77777777" w:rsidR="000B0B09" w:rsidRPr="004B0EC7" w:rsidRDefault="000B0B09" w:rsidP="008F7B97">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14:paraId="33E7C378" w14:textId="2CD315CB" w:rsidR="00E64BFE" w:rsidRPr="004B0EC7" w:rsidRDefault="000B0B09" w:rsidP="008F7B97">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Articolul 92 alineatul (4) litera (b) punctul (i) din Regulamentul (UE) nr. 575/2013. </w:t>
            </w:r>
          </w:p>
          <w:p w14:paraId="5D42B3B3" w14:textId="746A8766" w:rsidR="000B0B09" w:rsidRPr="004B0EC7" w:rsidRDefault="000B0B09" w:rsidP="008F7B97">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Rezultatul multiplicării cerințelor de fonduri proprii cu 12,5 în conformitate cu articolul 92 alineatul (6) litera (b) din Regulamentul (UE) nr. 575/2013 și cu factorul de multiplicare în conformitate cu articolul 325 alineatul (2) litera (a) punctul (ii) din regulamentul respectiv.</w:t>
            </w:r>
          </w:p>
        </w:tc>
      </w:tr>
    </w:tbl>
    <w:p w14:paraId="62FB026B"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8F7B97">
            <w:pPr>
              <w:suppressAutoHyphens/>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4B0EC7" w14:paraId="7546B05C" w14:textId="77777777" w:rsidTr="00672D2A">
        <w:tc>
          <w:tcPr>
            <w:tcW w:w="1008" w:type="dxa"/>
          </w:tcPr>
          <w:p w14:paraId="7BE875B0"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TITLURI DE CAPITAL DIN PORTOFOLIUL DE TRANZACȚIONARE</w:t>
            </w:r>
          </w:p>
          <w:p w14:paraId="030F1935" w14:textId="5FC6F493" w:rsidR="000B0B09" w:rsidRPr="004B0EC7" w:rsidRDefault="000B0B09" w:rsidP="008F7B97">
            <w:pPr>
              <w:tabs>
                <w:tab w:val="left" w:pos="1665"/>
              </w:tabs>
              <w:suppressAutoHyphens/>
              <w:autoSpaceDE w:val="0"/>
              <w:autoSpaceDN w:val="0"/>
              <w:adjustRightInd w:val="0"/>
              <w:rPr>
                <w:rFonts w:ascii="Times New Roman" w:hAnsi="Times New Roman"/>
                <w:sz w:val="24"/>
              </w:rPr>
            </w:pPr>
            <w:r>
              <w:rPr>
                <w:rFonts w:ascii="Times New Roman" w:hAnsi="Times New Roman"/>
                <w:sz w:val="24"/>
              </w:rPr>
              <w:t>Cerințele de fonduri proprii pentru riscul de poziție, astfel cum sunt menționate la articolul 92 alineatul (4) litera (b) punctul (i) din Regulamentul (UE) nr. 575/2013 și în partea a treia titlul IV capitolul 2 secțiunea 3 din regulamentul respectiv.</w:t>
            </w:r>
          </w:p>
        </w:tc>
      </w:tr>
      <w:tr w:rsidR="000B0B09" w:rsidRPr="004B0EC7" w14:paraId="06FCC7F1" w14:textId="77777777" w:rsidTr="00672D2A">
        <w:tc>
          <w:tcPr>
            <w:tcW w:w="1008" w:type="dxa"/>
          </w:tcPr>
          <w:p w14:paraId="33E8BCC6"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 GENERAL</w:t>
            </w:r>
          </w:p>
          <w:p w14:paraId="21F94335" w14:textId="276AABDB" w:rsidR="000B0B09" w:rsidRPr="004B0EC7" w:rsidRDefault="000B0B09" w:rsidP="008F7B97">
            <w:pPr>
              <w:suppressAutoHyphens/>
              <w:autoSpaceDE w:val="0"/>
              <w:autoSpaceDN w:val="0"/>
              <w:adjustRightInd w:val="0"/>
              <w:rPr>
                <w:rFonts w:ascii="Times New Roman" w:hAnsi="Times New Roman"/>
                <w:sz w:val="24"/>
              </w:rPr>
            </w:pPr>
            <w:r>
              <w:rPr>
                <w:rFonts w:ascii="Times New Roman" w:hAnsi="Times New Roman"/>
                <w:sz w:val="24"/>
              </w:rPr>
              <w:t xml:space="preserve">Pozițiile pe titluri de capital care fac obiectul riscului general [articolul 343 din Regulamentul (UE) nr. 575/2013] și cerințele de fonduri proprii aferente acestora în conformitate cu partea a treia titlul IV capitolul 2 secțiunea 3 din regulamentul respectiv </w:t>
            </w:r>
          </w:p>
          <w:p w14:paraId="729400AD" w14:textId="77777777" w:rsidR="001E0C80" w:rsidRPr="004B0EC7" w:rsidRDefault="000B0B09" w:rsidP="008F7B97">
            <w:pPr>
              <w:suppressAutoHyphens/>
              <w:autoSpaceDE w:val="0"/>
              <w:autoSpaceDN w:val="0"/>
              <w:adjustRightInd w:val="0"/>
              <w:spacing w:before="0"/>
              <w:rPr>
                <w:rFonts w:ascii="Times New Roman" w:hAnsi="Times New Roman"/>
                <w:sz w:val="24"/>
              </w:rPr>
            </w:pPr>
            <w:r>
              <w:rPr>
                <w:rFonts w:ascii="Times New Roman" w:hAnsi="Times New Roman"/>
                <w:sz w:val="24"/>
              </w:rPr>
              <w:t>Ambele defalcări (rândurile 0021/0022, precum și rândurile 0030/0040) se referă la toate pozițiile care fac obiectul riscului general.</w:t>
            </w:r>
          </w:p>
          <w:p w14:paraId="32EAD513" w14:textId="77777777" w:rsidR="004E2725"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Rândurile 0021 și 0022 solicită informații privind defalcarea pe instrumente. </w:t>
            </w:r>
          </w:p>
          <w:p w14:paraId="75FD06DA" w14:textId="77777777" w:rsidR="000B0B09" w:rsidRPr="004B0EC7" w:rsidRDefault="000B0B09" w:rsidP="008F7B97">
            <w:pPr>
              <w:tabs>
                <w:tab w:val="left" w:pos="1665"/>
              </w:tabs>
              <w:suppressAutoHyphens/>
              <w:autoSpaceDE w:val="0"/>
              <w:autoSpaceDN w:val="0"/>
              <w:adjustRightInd w:val="0"/>
              <w:rPr>
                <w:rFonts w:ascii="Times New Roman" w:hAnsi="Times New Roman"/>
                <w:sz w:val="24"/>
              </w:rPr>
            </w:pPr>
            <w:r>
              <w:rPr>
                <w:rFonts w:ascii="Times New Roman" w:hAnsi="Times New Roman"/>
                <w:sz w:val="24"/>
              </w:rPr>
              <w:t>Doar defalcarea de pe rândurile 0030 și 0040 se utilizează ca bază pentru calcularea cerințelor de fonduri proprii.</w:t>
            </w:r>
          </w:p>
        </w:tc>
      </w:tr>
      <w:tr w:rsidR="000B0B09" w:rsidRPr="004B0EC7" w14:paraId="7E2E7066" w14:textId="77777777" w:rsidTr="00672D2A">
        <w:tc>
          <w:tcPr>
            <w:tcW w:w="1008" w:type="dxa"/>
          </w:tcPr>
          <w:p w14:paraId="2A8F2E03"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4B0EC7" w:rsidRDefault="000B0B09" w:rsidP="008F7B97">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Instrumente financiare derivate</w:t>
            </w:r>
          </w:p>
          <w:p w14:paraId="561EFF21" w14:textId="424FAD2D" w:rsidR="000B0B09" w:rsidRPr="004B0EC7" w:rsidRDefault="000B0B09" w:rsidP="008F7B97">
            <w:pPr>
              <w:suppressAutoHyphens/>
              <w:autoSpaceDE w:val="0"/>
              <w:autoSpaceDN w:val="0"/>
              <w:adjustRightInd w:val="0"/>
              <w:rPr>
                <w:rFonts w:ascii="Times New Roman" w:hAnsi="Times New Roman"/>
                <w:b/>
                <w:bCs/>
                <w:sz w:val="24"/>
                <w:u w:val="single"/>
              </w:rPr>
            </w:pPr>
            <w:r>
              <w:rPr>
                <w:rFonts w:ascii="Times New Roman" w:hAnsi="Times New Roman"/>
                <w:sz w:val="24"/>
              </w:rPr>
              <w:t>Instrumentele financiare derivate incluse în calculul riscului de devalorizare a acțiunilor pentru pozițiile din portofoliul de tranzacționare, ținând cont de articolele 329-332 din Regulamentul (UE) nr. 575/2013, dacă este cazul.</w:t>
            </w:r>
          </w:p>
        </w:tc>
      </w:tr>
      <w:tr w:rsidR="000B0B09" w:rsidRPr="004B0EC7" w14:paraId="70CC2A6A" w14:textId="77777777" w:rsidTr="00672D2A">
        <w:tc>
          <w:tcPr>
            <w:tcW w:w="1008" w:type="dxa"/>
          </w:tcPr>
          <w:p w14:paraId="569AE9F8"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4B0EC7" w:rsidRDefault="000B0B09" w:rsidP="008F7B97">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Alte active și datorii</w:t>
            </w:r>
          </w:p>
          <w:p w14:paraId="21AC79DF" w14:textId="77777777" w:rsidR="000B0B09" w:rsidRPr="004B0EC7" w:rsidRDefault="000B0B09" w:rsidP="008F7B97">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Alte instrumente decât instrumentele financiare derivate incluse în calculul riscului de devalorizare a acțiunilor pentru pozițiile din portofoliul de tranzacționare. </w:t>
            </w:r>
          </w:p>
        </w:tc>
      </w:tr>
      <w:tr w:rsidR="000B0B09" w:rsidRPr="004B0EC7" w14:paraId="2ECBC519" w14:textId="77777777" w:rsidTr="00672D2A">
        <w:tc>
          <w:tcPr>
            <w:tcW w:w="1008" w:type="dxa"/>
          </w:tcPr>
          <w:p w14:paraId="63840C82"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Contracte futures pe indici bursieri cu o largă diversificare, tranzacționate la bursă, supuse unei abordări speciale</w:t>
            </w:r>
          </w:p>
          <w:p w14:paraId="56A22316" w14:textId="77777777" w:rsidR="005C14B0" w:rsidRPr="004B0EC7" w:rsidRDefault="000B0B09" w:rsidP="008F7B97">
            <w:pPr>
              <w:tabs>
                <w:tab w:val="left" w:pos="1665"/>
              </w:tabs>
              <w:suppressAutoHyphens/>
              <w:autoSpaceDE w:val="0"/>
              <w:autoSpaceDN w:val="0"/>
              <w:adjustRightInd w:val="0"/>
              <w:rPr>
                <w:rFonts w:ascii="Times New Roman" w:hAnsi="Times New Roman"/>
                <w:sz w:val="24"/>
              </w:rPr>
            </w:pPr>
            <w:r>
              <w:rPr>
                <w:rFonts w:ascii="Times New Roman" w:hAnsi="Times New Roman"/>
                <w:sz w:val="24"/>
              </w:rPr>
              <w:t>Contracte futures pe indici bursieri cu o largă diversificare, tranzacționate la bursă, supuse unei abordări speciale în conformitate cu Regulamentul de punere în aplicare (UE) nr. 945/2014 al Comisiei</w:t>
            </w:r>
            <w:r w:rsidR="00A11C6E" w:rsidRPr="004B0EC7">
              <w:rPr>
                <w:rStyle w:val="FootnoteReference"/>
              </w:rPr>
              <w:footnoteReference w:id="3"/>
            </w:r>
          </w:p>
          <w:p w14:paraId="2528F1AA" w14:textId="77777777" w:rsidR="000B0B09" w:rsidRPr="004B0EC7" w:rsidRDefault="000B0B09" w:rsidP="008F7B97">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lastRenderedPageBreak/>
              <w:t>Aceste poziții sunt supuse numai riscului general și, în consecință, nu trebuie să fie raportate pe rândul 0050.</w:t>
            </w:r>
          </w:p>
        </w:tc>
      </w:tr>
      <w:tr w:rsidR="000B0B09" w:rsidRPr="004B0EC7" w14:paraId="132F7A31" w14:textId="77777777" w:rsidTr="00672D2A">
        <w:tc>
          <w:tcPr>
            <w:tcW w:w="1008" w:type="dxa"/>
          </w:tcPr>
          <w:p w14:paraId="5A552EB7"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14:paraId="10EE0C22"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Titluri de capital, altele decât contractele futures pe indici bursieri cu o largă diversificare, tranzacționate la bursă</w:t>
            </w:r>
          </w:p>
          <w:p w14:paraId="17542C2D" w14:textId="0BABB084" w:rsidR="000B0B09" w:rsidRPr="004B0EC7" w:rsidRDefault="000B0B09" w:rsidP="008F7B97">
            <w:pPr>
              <w:suppressAutoHyphens/>
              <w:autoSpaceDE w:val="0"/>
              <w:autoSpaceDN w:val="0"/>
              <w:adjustRightInd w:val="0"/>
              <w:rPr>
                <w:rFonts w:ascii="Times New Roman" w:hAnsi="Times New Roman"/>
                <w:sz w:val="24"/>
              </w:rPr>
            </w:pPr>
            <w:r>
              <w:rPr>
                <w:rFonts w:ascii="Times New Roman" w:hAnsi="Times New Roman"/>
                <w:sz w:val="24"/>
              </w:rPr>
              <w:t>Alte poziții pe titluri de capital supuse riscului specific și cerințele de fonduri proprii aferente acestora în conformitate cu articolul 343 din Regulamentul (UE) nr. 575/2013, inclusiv pozițiile pe contracte futures pe indici bursieri tratate în conformitate cu articolul 344 alineatul (3) din regulamentul respectiv</w:t>
            </w:r>
          </w:p>
        </w:tc>
      </w:tr>
      <w:tr w:rsidR="000B0B09" w:rsidRPr="004B0EC7" w14:paraId="10C7ACD9" w14:textId="77777777" w:rsidTr="00672D2A">
        <w:tc>
          <w:tcPr>
            <w:tcW w:w="1008" w:type="dxa"/>
          </w:tcPr>
          <w:p w14:paraId="1F6F53FD"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 SPECIFIC</w:t>
            </w:r>
          </w:p>
          <w:p w14:paraId="4CFFEA2D" w14:textId="05674FED" w:rsidR="000B0B09" w:rsidRPr="004B0EC7" w:rsidRDefault="000B0B09" w:rsidP="008F7B97">
            <w:pPr>
              <w:suppressAutoHyphens/>
              <w:autoSpaceDE w:val="0"/>
              <w:autoSpaceDN w:val="0"/>
              <w:adjustRightInd w:val="0"/>
              <w:rPr>
                <w:rFonts w:ascii="Times New Roman" w:hAnsi="Times New Roman"/>
                <w:sz w:val="24"/>
              </w:rPr>
            </w:pPr>
            <w:r>
              <w:rPr>
                <w:rFonts w:ascii="Times New Roman" w:hAnsi="Times New Roman"/>
                <w:sz w:val="24"/>
              </w:rPr>
              <w:t xml:space="preserve">Pozițiile pe titluri de capital supuse riscului specific și cerințele de fonduri proprii aferente acestora în conformitate cu articolul 342 din Regulamentul (UE) nr. 575/2013, excluzând pozițiile pe contracte futures pe indici bursieri tratate în conformitate cu articolul 344 alineatul (4) a doua teză din regulamentul respectiv </w:t>
            </w:r>
          </w:p>
        </w:tc>
      </w:tr>
      <w:tr w:rsidR="000B0B09" w:rsidRPr="004B0EC7" w14:paraId="63780725" w14:textId="77777777" w:rsidTr="00672D2A">
        <w:tc>
          <w:tcPr>
            <w:tcW w:w="1008" w:type="dxa"/>
          </w:tcPr>
          <w:p w14:paraId="573EB4E8"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CERINȚE SUPLIMENTARE PENTRU OPȚIUNI (ALTE RISCURI DECÂT RISCUL DELTA)</w:t>
            </w:r>
          </w:p>
          <w:p w14:paraId="2552C107" w14:textId="2AD28847" w:rsidR="000B0B09" w:rsidRPr="004B0EC7" w:rsidRDefault="00F2521E" w:rsidP="008F7B97">
            <w:pPr>
              <w:suppressAutoHyphens/>
              <w:autoSpaceDE w:val="0"/>
              <w:autoSpaceDN w:val="0"/>
              <w:adjustRightInd w:val="0"/>
              <w:rPr>
                <w:rFonts w:ascii="Times New Roman" w:hAnsi="Times New Roman"/>
                <w:sz w:val="24"/>
              </w:rPr>
            </w:pPr>
            <w:r>
              <w:rPr>
                <w:rFonts w:ascii="Times New Roman" w:hAnsi="Times New Roman"/>
                <w:sz w:val="24"/>
              </w:rPr>
              <w:t xml:space="preserve">Articolul 329 alineatele (2) și (3) din Regulamentul (UE) nr. 575/2013 </w:t>
            </w:r>
          </w:p>
          <w:p w14:paraId="72C3FAC3" w14:textId="77777777"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Cerințele suplimentare pentru opțiuni legate de alte riscuri decât riscul delta se raportează prin metoda utilizată pentru calcularea acestuia.</w:t>
            </w:r>
          </w:p>
        </w:tc>
      </w:tr>
    </w:tbl>
    <w:p w14:paraId="0EB6FD79" w14:textId="77777777" w:rsidR="000B0B09" w:rsidRPr="004B0EC7" w:rsidRDefault="000B0B09" w:rsidP="008F7B97">
      <w:pPr>
        <w:suppressAutoHyphens/>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rFonts w:ascii="Times New Roman" w:hAnsi="Times New Roman"/>
          <w:sz w:val="24"/>
          <w:u w:val="none"/>
        </w:rPr>
        <w:t>5.5.</w:t>
      </w:r>
      <w:r>
        <w:rPr>
          <w:rFonts w:ascii="Times New Roman" w:hAnsi="Times New Roman"/>
          <w:sz w:val="24"/>
          <w:u w:val="none"/>
        </w:rPr>
        <w:tab/>
      </w:r>
      <w:r>
        <w:rPr>
          <w:rFonts w:ascii="Times New Roman" w:hAnsi="Times New Roman"/>
          <w:sz w:val="24"/>
        </w:rPr>
        <w:t>C 22.01 – Riscul de piață: abordarea standardizată simplificată pentru riscul valutar</w:t>
      </w:r>
      <w:bookmarkEnd w:id="103"/>
      <w:bookmarkEnd w:id="104"/>
      <w:bookmarkEnd w:id="105"/>
      <w:bookmarkEnd w:id="106"/>
      <w:bookmarkEnd w:id="107"/>
      <w:r>
        <w:rPr>
          <w:rFonts w:ascii="Times New Roman" w:hAnsi="Times New Roman"/>
          <w:sz w:val="24"/>
        </w:rPr>
        <w:t xml:space="preserve"> (MKR SSA FX)</w:t>
      </w:r>
      <w:bookmarkEnd w:id="108"/>
      <w:bookmarkEnd w:id="109"/>
    </w:p>
    <w:p w14:paraId="70FD2A29" w14:textId="77777777"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rFonts w:ascii="Times New Roman" w:hAnsi="Times New Roman"/>
          <w:sz w:val="24"/>
          <w:u w:val="none"/>
        </w:rPr>
        <w:t>5.5.1.</w:t>
      </w:r>
      <w:r>
        <w:rPr>
          <w:rFonts w:ascii="Times New Roman" w:hAnsi="Times New Roman"/>
          <w:sz w:val="24"/>
          <w:u w:val="none"/>
        </w:rPr>
        <w:tab/>
      </w:r>
      <w:r>
        <w:rPr>
          <w:rFonts w:ascii="Times New Roman" w:hAnsi="Times New Roman"/>
          <w:sz w:val="24"/>
        </w:rPr>
        <w:t>Observații generale</w:t>
      </w:r>
      <w:bookmarkEnd w:id="110"/>
      <w:bookmarkEnd w:id="111"/>
      <w:bookmarkEnd w:id="112"/>
      <w:bookmarkEnd w:id="113"/>
      <w:bookmarkEnd w:id="114"/>
      <w:bookmarkEnd w:id="115"/>
      <w:bookmarkEnd w:id="116"/>
    </w:p>
    <w:p w14:paraId="3B4750B2" w14:textId="251AD709" w:rsidR="00F71DF2" w:rsidRPr="004B0EC7" w:rsidRDefault="008F3052" w:rsidP="008F7B97">
      <w:pPr>
        <w:pStyle w:val="InstructionsText2"/>
        <w:numPr>
          <w:ilvl w:val="0"/>
          <w:numId w:val="0"/>
        </w:numPr>
        <w:suppressAutoHyphens/>
        <w:ind w:left="993"/>
      </w:pPr>
      <w:r w:rsidRPr="004B0EC7">
        <w:fldChar w:fldCharType="begin"/>
      </w:r>
      <w:r w:rsidRPr="004B0EC7">
        <w:instrText>seq paragraphs</w:instrText>
      </w:r>
      <w:r w:rsidRPr="004B0EC7">
        <w:fldChar w:fldCharType="separate"/>
      </w:r>
      <w:r w:rsidR="00771068" w:rsidRPr="004B0EC7">
        <w:t>171</w:t>
      </w:r>
      <w:r w:rsidRPr="004B0EC7">
        <w:fldChar w:fldCharType="end"/>
      </w:r>
      <w:r>
        <w:t>. Instituțiile raportează informații privind pozițiile pe fiecare valută (inclusiv moneda de raportare) și cerințele de fonduri proprii aferente acestora pentru riscul valutar tratate conform abordării standardizate. Poziția se calculează pentru fiecare monedă (inclusiv EUR), pentru aur și pentru pozițiile în OPC-uri.</w:t>
      </w:r>
    </w:p>
    <w:p w14:paraId="39EF826C" w14:textId="3D244F2F" w:rsidR="000B0B09" w:rsidRPr="004B0EC7" w:rsidRDefault="008F3052" w:rsidP="008F7B97">
      <w:pPr>
        <w:pStyle w:val="InstructionsText2"/>
        <w:numPr>
          <w:ilvl w:val="0"/>
          <w:numId w:val="0"/>
        </w:numPr>
        <w:suppressAutoHyphens/>
        <w:ind w:left="993"/>
      </w:pPr>
      <w:r w:rsidRPr="004B0EC7">
        <w:fldChar w:fldCharType="begin"/>
      </w:r>
      <w:r w:rsidRPr="004B0EC7">
        <w:instrText>seq paragraphs</w:instrText>
      </w:r>
      <w:r w:rsidRPr="004B0EC7">
        <w:fldChar w:fldCharType="separate"/>
      </w:r>
      <w:r w:rsidR="00771068" w:rsidRPr="004B0EC7">
        <w:t>172</w:t>
      </w:r>
      <w:r w:rsidRPr="004B0EC7">
        <w:fldChar w:fldCharType="end"/>
      </w:r>
      <w:r>
        <w:t>.</w:t>
      </w:r>
      <w:r>
        <w:tab/>
        <w:t xml:space="preserve"> Rândurile 0100-0480 din prezentul formular trebuie raportate chiar dacă instituțiile nu sunt obligate să își calculeze cerințele de fonduri proprii pentru riscul valutar, în conformitate cu articolul 351 din Regulamentul (UE) nr. 575/2013. La aceste elemente memorandum se includ toate pozițiile în moneda de raportare, indiferent dacă sunt sau nu luate în considerare în scopurile articolului 354 din Regulamentul (UE) nr. 575/2013. Rândurile 0130-0480 aferente elementelor memorandum din formular se completează separat pentru toate monedele statelor membre ale Uniunii, pentru monedele următoare: GBP, USD, CHF, JPY, RUB, TRY, AUD, CAD, RSD, ALL, UAH, MKD, EGP, ARS, BRL, MXN, HKD, ICK, TWD, NZD, NOK, SGD, KRW, CNY și pentru toate celelalte monede.</w:t>
      </w:r>
    </w:p>
    <w:p w14:paraId="346B4732" w14:textId="273354B2"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rFonts w:ascii="Times New Roman" w:hAnsi="Times New Roman"/>
          <w:sz w:val="24"/>
          <w:u w:val="none"/>
        </w:rPr>
        <w:t>5.5.2.</w:t>
      </w:r>
      <w:r>
        <w:rPr>
          <w:rFonts w:ascii="Times New Roman" w:hAnsi="Times New Roman"/>
          <w:sz w:val="24"/>
          <w:u w:val="none"/>
        </w:rPr>
        <w:tab/>
      </w:r>
      <w:r>
        <w:rPr>
          <w:rFonts w:ascii="Times New Roman" w:hAnsi="Times New Roman"/>
          <w:sz w:val="24"/>
        </w:rPr>
        <w:t>Instrucțiuni privind anumite poziții</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8F7B97">
            <w:pPr>
              <w:suppressAutoHyphens/>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4B0EC7" w14:paraId="159B4B41" w14:textId="77777777" w:rsidTr="00672D2A">
        <w:tc>
          <w:tcPr>
            <w:tcW w:w="988" w:type="dxa"/>
          </w:tcPr>
          <w:p w14:paraId="0ABA9E21"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POZIȚIILE (LUNGI ȘI SCURTE)</w:t>
            </w:r>
          </w:p>
          <w:p w14:paraId="21CD6173"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8F7B97">
            <w:pPr>
              <w:suppressAutoHyphens/>
              <w:autoSpaceDE w:val="0"/>
              <w:autoSpaceDN w:val="0"/>
              <w:adjustRightInd w:val="0"/>
              <w:spacing w:before="0"/>
              <w:rPr>
                <w:rFonts w:ascii="Times New Roman" w:hAnsi="Times New Roman"/>
                <w:sz w:val="24"/>
              </w:rPr>
            </w:pPr>
            <w:r>
              <w:rPr>
                <w:rFonts w:ascii="Times New Roman" w:hAnsi="Times New Roman"/>
                <w:sz w:val="24"/>
              </w:rPr>
              <w:lastRenderedPageBreak/>
              <w:t>Poziții brute ca urmare a activelor, sumelor de încasat și elementelor similare menționate la articolul 352 alineatul (1) din Regulamentul (UE) nr. 575/2013.</w:t>
            </w:r>
          </w:p>
          <w:p w14:paraId="754DB1BB" w14:textId="2FEAA29E" w:rsidR="000B0B09" w:rsidRPr="004B0EC7" w:rsidRDefault="00BB22D4"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În conformitate cu articolul 352 alineatul (2) din Regulamentul (UE) nr. 575/2013 și sub rezerva obținerii aprobărilor din partea autorităților competente, nu trebuie raportate pozițiile adoptate pentru a se acoperi efectul advers al cursului de schimb asupra ratelor lor în conformitate cu articolul 92 alineatul (1) din regulamentul respectiv și nici pozițiile în legătură cu elemente care sunt deja deduse la calcularea fondurilor proprii.</w:t>
            </w:r>
          </w:p>
          <w:p w14:paraId="40A85A41"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14:paraId="5A21CA54"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NETE (LUNGI ȘI SCURTE)</w:t>
            </w:r>
          </w:p>
          <w:p w14:paraId="5D5BCFBB"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8F7B97">
            <w:pPr>
              <w:suppressAutoHyphens/>
              <w:autoSpaceDE w:val="0"/>
              <w:autoSpaceDN w:val="0"/>
              <w:adjustRightInd w:val="0"/>
              <w:spacing w:before="0"/>
              <w:rPr>
                <w:rFonts w:ascii="Times New Roman" w:hAnsi="Times New Roman"/>
                <w:sz w:val="24"/>
              </w:rPr>
            </w:pPr>
            <w:r>
              <w:rPr>
                <w:rFonts w:ascii="Times New Roman" w:hAnsi="Times New Roman"/>
                <w:sz w:val="24"/>
              </w:rPr>
              <w:t>Articolul 352 alineatul (3), articolul 352 alineatul (4) primele două teze și articolul 353 din Regulamentul (UE) nr. 575/2013</w:t>
            </w:r>
          </w:p>
          <w:p w14:paraId="1436375E" w14:textId="100DFA36"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Pozițiile nete sunt calculate pe fiecare valută în conformitate cu articolul 352 alineatul (1) din Regulamentul (UE) nr. 575/2013. În consecință, pot fi raportate în același timp atât pozițiile lungi, cât și pozițiile scurte.</w:t>
            </w:r>
          </w:p>
          <w:p w14:paraId="7EF6C18C"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w:t>
            </w:r>
          </w:p>
          <w:p w14:paraId="536B2115"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Articolul 352 alineatul (4) a treia teză și articolele 353 și 354 din Regulamentul (UE) nr. 575/2013 </w:t>
            </w:r>
          </w:p>
          <w:p w14:paraId="091C4CE9"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POZIȚII CARE FAC OBIECTUL UNEI CERINȚE DE CAPITAL (LUNGI ȘI SCURTE)</w:t>
            </w:r>
          </w:p>
          <w:p w14:paraId="1CA17503" w14:textId="77777777" w:rsidR="000B0B09" w:rsidRPr="004B0EC7" w:rsidRDefault="000B0B09" w:rsidP="008F7B97">
            <w:pPr>
              <w:suppressAutoHyphens/>
              <w:autoSpaceDE w:val="0"/>
              <w:autoSpaceDN w:val="0"/>
              <w:adjustRightInd w:val="0"/>
              <w:spacing w:after="0"/>
              <w:rPr>
                <w:rFonts w:ascii="Times New Roman" w:hAnsi="Times New Roman"/>
                <w:sz w:val="24"/>
              </w:rPr>
            </w:pPr>
            <w:r>
              <w:rPr>
                <w:rFonts w:ascii="Times New Roman" w:hAnsi="Times New Roman"/>
                <w:sz w:val="24"/>
              </w:rPr>
              <w:t>Pozițiile nete lungi și scurte pentru fiecare valută se calculează prin deducerea totalului pozițiilor scurte din totalul pozițiilor lungi.</w:t>
            </w:r>
          </w:p>
          <w:p w14:paraId="7912A4F1" w14:textId="77777777" w:rsidR="000B0B09" w:rsidRPr="004B0EC7" w:rsidRDefault="000B0B09" w:rsidP="008F7B97">
            <w:pPr>
              <w:suppressAutoHyphens/>
              <w:autoSpaceDE w:val="0"/>
              <w:autoSpaceDN w:val="0"/>
              <w:adjustRightInd w:val="0"/>
              <w:spacing w:after="0"/>
              <w:rPr>
                <w:rFonts w:ascii="Times New Roman" w:hAnsi="Times New Roman"/>
                <w:sz w:val="24"/>
              </w:rPr>
            </w:pPr>
            <w:r>
              <w:rPr>
                <w:rFonts w:ascii="Times New Roman" w:hAnsi="Times New Roman"/>
                <w:sz w:val="24"/>
              </w:rPr>
              <w:t>Pozițiile nete lungi pentru fiecare operațiune într-o valută se însumează pentru a obține poziția netă lungă în valuta respectivă.</w:t>
            </w:r>
          </w:p>
          <w:p w14:paraId="5B4E9BDF" w14:textId="77777777" w:rsidR="000B0B09" w:rsidRPr="004B0EC7" w:rsidRDefault="000B0B09" w:rsidP="008F7B97">
            <w:pPr>
              <w:suppressAutoHyphens/>
              <w:autoSpaceDE w:val="0"/>
              <w:autoSpaceDN w:val="0"/>
              <w:adjustRightInd w:val="0"/>
              <w:spacing w:after="0"/>
              <w:rPr>
                <w:rFonts w:ascii="Times New Roman" w:hAnsi="Times New Roman"/>
                <w:sz w:val="24"/>
              </w:rPr>
            </w:pPr>
            <w:r>
              <w:rPr>
                <w:rFonts w:ascii="Times New Roman" w:hAnsi="Times New Roman"/>
                <w:sz w:val="24"/>
              </w:rPr>
              <w:t>Pozițiile nete scurte pentru fiecare operațiune într-o valută se însumează pentru a obține poziția netă scurtă în valuta respectivă.</w:t>
            </w:r>
          </w:p>
          <w:p w14:paraId="71BEB09F" w14:textId="77777777" w:rsidR="000B0B09" w:rsidRPr="004B0EC7" w:rsidRDefault="000B0B09" w:rsidP="008F7B97">
            <w:pPr>
              <w:suppressAutoHyphens/>
              <w:autoSpaceDE w:val="0"/>
              <w:autoSpaceDN w:val="0"/>
              <w:adjustRightInd w:val="0"/>
              <w:spacing w:after="0"/>
              <w:rPr>
                <w:rFonts w:ascii="Times New Roman" w:hAnsi="Times New Roman"/>
                <w:sz w:val="24"/>
              </w:rPr>
            </w:pPr>
            <w:r>
              <w:rPr>
                <w:rFonts w:ascii="Times New Roman" w:hAnsi="Times New Roman"/>
                <w:sz w:val="24"/>
              </w:rPr>
              <w:t>Pozițiile în alte valute decât moneda de raportare care nu sunt puse în corespondență se adaugă la pozițiile care fac obiectul unor cerințe de capital pentru alte valute (rândul 030) în coloana 060 sau 070, în funcție de dispunerea lor scurtă sau lungă.</w:t>
            </w:r>
          </w:p>
          <w:p w14:paraId="3B8AB235" w14:textId="77777777" w:rsidR="00DE48EF" w:rsidRPr="004B0EC7" w:rsidRDefault="00DE48EF"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 (PUSE ÎN CORESPONDENȚĂ)</w:t>
            </w:r>
          </w:p>
          <w:p w14:paraId="1787EA62"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Pozițiile puse în corespondență pentru valute strâns corelate.</w:t>
            </w:r>
          </w:p>
          <w:p w14:paraId="6BC8E676"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F464E56"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 ÎNAINTE DE APLICAREA FACTORILOR DE MULTIPLICARE</w:t>
            </w:r>
          </w:p>
          <w:p w14:paraId="4108E694"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Cerința de fonduri proprii pentru orice poziție relevantă în conformitate cu partea a treia titlul IV capitolul 3 din Regulamentul (UE) nr. 575/2013, înainte de aplicarea factorului de multiplicare în conformitate cu articolul 325 alineatul (2) litera (b) din regulamentul respectiv. </w:t>
            </w:r>
          </w:p>
          <w:p w14:paraId="62C9AE79"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4" w:type="dxa"/>
          </w:tcPr>
          <w:p w14:paraId="0647EAC0" w14:textId="77777777" w:rsidR="000B0B09" w:rsidRPr="004B0EC7" w:rsidRDefault="000B0B09" w:rsidP="008F7B97">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14:paraId="1005789B" w14:textId="77777777" w:rsidR="000B0B09" w:rsidRPr="004B0EC7" w:rsidRDefault="000B0B09" w:rsidP="008F7B97">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8F7B97">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Articolul 92 alineatul (4) litera (c) din Regulamentul (UE) nr. 575/2013.</w:t>
            </w:r>
          </w:p>
          <w:p w14:paraId="74C1A53D" w14:textId="0F1B212C" w:rsidR="000B0B09" w:rsidRPr="004B0EC7" w:rsidRDefault="000B0B09" w:rsidP="008F7B97">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Rezultatul multiplicării cerințelor de fonduri proprii cu 12,5 în conformitate cu articolul 92 alineatul (6) litera (b) din Regulamentul (UE) nr. 575/2013 și cu factorul de multiplicare în conformitate cu articolul 325 alineatul (2) litera (b) din regulamentul respectiv. </w:t>
            </w:r>
          </w:p>
          <w:p w14:paraId="43ECFCA3" w14:textId="77777777" w:rsidR="00DE48EF" w:rsidRPr="004B0EC7" w:rsidRDefault="00DE48EF" w:rsidP="008F7B97">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8F7B97">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8F7B97">
            <w:pPr>
              <w:suppressAutoHyphens/>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4B0EC7" w14:paraId="7E8F93AD" w14:textId="77777777" w:rsidTr="00672D2A">
        <w:tc>
          <w:tcPr>
            <w:tcW w:w="991" w:type="dxa"/>
          </w:tcPr>
          <w:p w14:paraId="308DA059"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TOTALE</w:t>
            </w:r>
          </w:p>
          <w:p w14:paraId="625A8F91"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Toate pozițiile în alte valute decât moneda de raportare și pozițiile în moneda de raportare care sunt luate în considerare în scopul articolului 354 din Regulamentul (UE) nr. 575/2013, precum și cerințele de fonduri proprii pentru riscul valutar corespunzătoare acestora menționate la articolul 92 alineatul (4) litera (c), ținând seama de articolul 352 alineatele (2) și (4) din Regulamentul (UE) nr. 575/2013 (pentru conversia în moneda de raportare).</w:t>
            </w:r>
          </w:p>
          <w:p w14:paraId="60C8486E"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VALUTE STRÂNS CORELATE</w:t>
            </w:r>
          </w:p>
          <w:p w14:paraId="784B138D"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Pozițiile și cerințele de fonduri proprii corespunzătoare acestora pentru valute strâns corelate menționate la articolul 354 din Regulamentul (UE) nr. 575/2013.</w:t>
            </w:r>
          </w:p>
          <w:p w14:paraId="1228E8F4"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4B0EC7" w:rsidRDefault="00491F4D"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Monede strâns corelate: </w:t>
            </w:r>
            <w:r>
              <w:rPr>
                <w:rFonts w:ascii="Times New Roman" w:hAnsi="Times New Roman"/>
                <w:b/>
                <w:i/>
                <w:sz w:val="24"/>
                <w:u w:val="single"/>
              </w:rPr>
              <w:t>din care</w:t>
            </w:r>
            <w:r>
              <w:rPr>
                <w:rFonts w:ascii="Times New Roman" w:hAnsi="Times New Roman"/>
                <w:b/>
                <w:sz w:val="24"/>
                <w:u w:val="single"/>
              </w:rPr>
              <w:t>: moneda de raportare</w:t>
            </w:r>
          </w:p>
          <w:p w14:paraId="1A313604" w14:textId="77777777" w:rsidR="00491F4D" w:rsidRPr="004B0EC7" w:rsidRDefault="00491F4D" w:rsidP="008F7B97">
            <w:pPr>
              <w:suppressAutoHyphens/>
              <w:autoSpaceDE w:val="0"/>
              <w:autoSpaceDN w:val="0"/>
              <w:adjustRightInd w:val="0"/>
              <w:spacing w:before="0" w:after="0"/>
              <w:rPr>
                <w:rFonts w:ascii="Times New Roman" w:hAnsi="Times New Roman"/>
                <w:sz w:val="24"/>
              </w:rPr>
            </w:pPr>
          </w:p>
          <w:p w14:paraId="6CF1E695" w14:textId="3B11B1C0" w:rsidR="00491F4D" w:rsidRPr="004B0EC7" w:rsidRDefault="00491F4D"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Pozițiile în moneda de raportare care contribuie la calcularea cerințelor de capital în conformitate cu articolul 354 din Regulamentul (UE) nr. 575/2013.</w:t>
            </w:r>
          </w:p>
          <w:p w14:paraId="1727C5A3" w14:textId="77777777" w:rsidR="00491F4D" w:rsidRPr="004B0EC7" w:rsidRDefault="00491F4D"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CELELALTE MONEDE (inclusiv OPC-uri tratate ca valute distincte)</w:t>
            </w:r>
          </w:p>
          <w:p w14:paraId="1677D283"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Pozițiile și cerințele de fonduri proprii corespunzătoare acestora pentru valutele care fac obiectul procedurii generale menționate la articolul 351 și la articolul 352 alineatele (2) și (4) din Regulamentul (UE) nr. 575/2013.</w:t>
            </w:r>
          </w:p>
          <w:p w14:paraId="0D0C93F2"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8F7B97">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 xml:space="preserve">Raportarea OPC-urilor tratate ca valute distincte, în conformitate cu articolul 353 </w:t>
            </w:r>
            <w:r>
              <w:rPr>
                <w:rFonts w:ascii="Times New Roman" w:hAnsi="Times New Roman"/>
                <w:sz w:val="24"/>
              </w:rPr>
              <w:t>din Regulamentul (UE) nr. 575/2013</w:t>
            </w:r>
            <w:r>
              <w:rPr>
                <w:rFonts w:ascii="Times New Roman" w:hAnsi="Times New Roman"/>
                <w:sz w:val="24"/>
                <w:u w:val="single"/>
              </w:rPr>
              <w:t>:</w:t>
            </w:r>
          </w:p>
          <w:p w14:paraId="77B7A43F" w14:textId="77777777" w:rsidR="000B0B09" w:rsidRPr="004B0EC7" w:rsidRDefault="000B0B09" w:rsidP="008F7B97">
            <w:pPr>
              <w:suppressAutoHyphens/>
              <w:autoSpaceDE w:val="0"/>
              <w:autoSpaceDN w:val="0"/>
              <w:adjustRightInd w:val="0"/>
              <w:spacing w:before="0" w:after="0"/>
              <w:rPr>
                <w:rFonts w:ascii="Times New Roman" w:hAnsi="Times New Roman"/>
                <w:bCs/>
                <w:sz w:val="24"/>
              </w:rPr>
            </w:pPr>
            <w:r>
              <w:rPr>
                <w:rFonts w:ascii="Times New Roman" w:hAnsi="Times New Roman"/>
                <w:sz w:val="24"/>
              </w:rPr>
              <w:t>Există două tratamente diferite aplicabile OPC-urilor tratate ca valute distincte pentru calcularea cerințelor de capital:</w:t>
            </w:r>
          </w:p>
          <w:p w14:paraId="5B250982" w14:textId="77777777" w:rsidR="000B0B09" w:rsidRPr="004B0EC7" w:rsidRDefault="00125707" w:rsidP="008F7B97">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rPr>
                <w:rFonts w:ascii="Times New Roman" w:hAnsi="Times New Roman"/>
                <w:sz w:val="24"/>
              </w:rPr>
              <w:tab/>
              <w:t>metoda modificată a aurului, în cazul în care direcția investiției OPC-ului nu este disponibilă (OPC-urile în cauză se adaugă la poziția valutară netă generală a instituției);</w:t>
            </w:r>
          </w:p>
          <w:p w14:paraId="36EAAD8C" w14:textId="77777777" w:rsidR="000B0B09" w:rsidRPr="004B0EC7" w:rsidRDefault="00125707" w:rsidP="008F7B97">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rPr>
                <w:rFonts w:ascii="Times New Roman" w:hAnsi="Times New Roman"/>
                <w:sz w:val="24"/>
              </w:rPr>
              <w:tab/>
              <w:t>în cazul în care direcția investiției OPC-ului este disponibilă, OPC-urile în cauză se adaugă la poziția valutară deschisă totală (lungă sau scurtă, în funcție de direcția OPC-ului).</w:t>
            </w:r>
          </w:p>
          <w:p w14:paraId="6410AE39" w14:textId="77777777" w:rsidR="000B0B09" w:rsidRPr="004B0EC7" w:rsidRDefault="000B0B09" w:rsidP="008F7B97">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Raportarea OPC-urilor respective urmează calculul cerințelor de capital.</w:t>
            </w:r>
          </w:p>
          <w:p w14:paraId="6EF89CCB" w14:textId="77777777" w:rsidR="00DE48EF" w:rsidRPr="004B0EC7" w:rsidRDefault="00DE48EF"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AUR</w:t>
            </w:r>
          </w:p>
          <w:p w14:paraId="3DD20C37"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și cerințele de fonduri proprii corespunzătoare acestora pentru valutele care fac obiectul procedurii generale menționate la articolul 351 și la articolul 352 alineatele (2) și (4) din Regulamentul (UE) nr. 575/2013. </w:t>
            </w:r>
          </w:p>
          <w:p w14:paraId="23633856"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CERINȚE SUPLIMENTARE PENTRU OPȚIUNI (ALTE RISCURI DECÂT RISCUL DELTA)</w:t>
            </w:r>
          </w:p>
          <w:p w14:paraId="409B80C0" w14:textId="56A2BE80" w:rsidR="000B0B09" w:rsidRPr="004B0EC7" w:rsidRDefault="000B0B09" w:rsidP="008F7B97">
            <w:pPr>
              <w:suppressAutoHyphens/>
              <w:autoSpaceDE w:val="0"/>
              <w:autoSpaceDN w:val="0"/>
              <w:adjustRightInd w:val="0"/>
              <w:spacing w:after="0"/>
              <w:rPr>
                <w:rFonts w:ascii="Times New Roman" w:hAnsi="Times New Roman"/>
                <w:sz w:val="24"/>
              </w:rPr>
            </w:pPr>
            <w:r>
              <w:rPr>
                <w:rFonts w:ascii="Times New Roman" w:hAnsi="Times New Roman"/>
                <w:sz w:val="24"/>
              </w:rPr>
              <w:t xml:space="preserve">Articolul 352 alineatele (5) și (6) din Regulamentul (UE) nr. 575/2013 </w:t>
            </w:r>
          </w:p>
          <w:p w14:paraId="28A72F07"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Cerințele suplimentare pentru opțiuni legate de alte riscuri decât riscul delta se raportează defalcat în funcție de metoda utilizată pentru calcularea acestora. </w:t>
            </w:r>
          </w:p>
          <w:p w14:paraId="64B10AE8"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Defalcarea pozițiilor totale (incluzând și moneda de raportare) pe tipuri de expuneri</w:t>
            </w:r>
          </w:p>
          <w:p w14:paraId="35F84DAE"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Pozițiile totale trebuie defalcate pe instrumente financiare derivate, alte active și datorii și elemente extrabilanțiere.</w:t>
            </w:r>
          </w:p>
          <w:p w14:paraId="645944F1" w14:textId="77777777" w:rsidR="00DE48EF" w:rsidRPr="004B0EC7" w:rsidRDefault="00DE48EF"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Alte active și datorii decât elementele extrabilanțiere și instrumentele financiare derivate</w:t>
            </w:r>
          </w:p>
          <w:p w14:paraId="70ABA94F"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care nu sunt incluse pe rândul 0110 sau 0120 trebuie incluse aici. </w:t>
            </w:r>
          </w:p>
          <w:p w14:paraId="68474F8C"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4B0EC7" w14:paraId="68F25686" w14:textId="77777777" w:rsidTr="00672D2A">
        <w:tc>
          <w:tcPr>
            <w:tcW w:w="991" w:type="dxa"/>
          </w:tcPr>
          <w:p w14:paraId="76AEDC5B"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Elemente extrabilanțiere</w:t>
            </w:r>
          </w:p>
          <w:p w14:paraId="4FE41ABE"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Elementele din sfera de aplicare a articolului 352 din Regulamentul (UE) nr. 575/2013, indiferent de moneda în care sunt denominate, incluse în anexa I la regulamentul respectiv, cu excepția celor incluse ca operațiuni de finanțare prin instrumente financiare și tranzacții cu termen lung de decontare sau care provin din compensare contractuală între produse diferite.</w:t>
            </w:r>
          </w:p>
          <w:p w14:paraId="25D49F5C" w14:textId="77777777" w:rsidR="00DE48EF" w:rsidRPr="004B0EC7" w:rsidRDefault="00DE48EF"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financiare derivate</w:t>
            </w:r>
          </w:p>
          <w:p w14:paraId="7B6CC853"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174E14E9" w14:textId="58796E09"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Poziții evaluate în conformitate cu articolul 352 din Regulamentul (UE) nr.</w:t>
            </w:r>
            <w:r w:rsidR="008F7B97">
              <w:rPr>
                <w:rFonts w:ascii="Times New Roman" w:hAnsi="Times New Roman"/>
                <w:sz w:val="24"/>
              </w:rPr>
              <w:t> </w:t>
            </w:r>
            <w:r>
              <w:rPr>
                <w:rFonts w:ascii="Times New Roman" w:hAnsi="Times New Roman"/>
                <w:sz w:val="24"/>
              </w:rPr>
              <w:t>575/2013.</w:t>
            </w:r>
          </w:p>
          <w:p w14:paraId="2984F2C2" w14:textId="77777777" w:rsidR="00902EFC" w:rsidRPr="004B0EC7" w:rsidRDefault="00902EFC"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ELEMENTE MEMORANDUM: POZIȚII VALUTARE</w:t>
            </w:r>
          </w:p>
          <w:p w14:paraId="77A906DE" w14:textId="77777777" w:rsidR="000B0B09" w:rsidRPr="004B0EC7" w:rsidRDefault="000B0B09" w:rsidP="008F7B97">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Elementele memorandum din formular se completează separat pentru toate monedele statelor membre ale Uniunii, pentru monedele următoare: GBP, USD, CHF, JPY, RUB, TRY, AUD, CAD, RSD, ALL, UAH, MKD, EGP, ARS, BRL, MXN, HKD, ICK, TWD, NZD, NOK, SGD, KRW, CNY și pentru toate celelalte monede. </w:t>
            </w:r>
          </w:p>
          <w:p w14:paraId="2A795EB2" w14:textId="3FA18151" w:rsidR="0055144E" w:rsidRPr="004B0EC7" w:rsidRDefault="0055144E" w:rsidP="008F7B97">
            <w:pPr>
              <w:suppressAutoHyphens/>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0470</w:t>
            </w:r>
          </w:p>
        </w:tc>
        <w:tc>
          <w:tcPr>
            <w:tcW w:w="7871" w:type="dxa"/>
          </w:tcPr>
          <w:p w14:paraId="323DC607" w14:textId="77777777" w:rsidR="00DB1114" w:rsidRPr="004B0EC7" w:rsidRDefault="00DB1114"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Altele</w:t>
            </w:r>
          </w:p>
          <w:p w14:paraId="06E2CC4B" w14:textId="77777777" w:rsidR="00DB1114" w:rsidRPr="004B0EC7" w:rsidRDefault="00DB1114" w:rsidP="008F7B97">
            <w:pPr>
              <w:suppressAutoHyphens/>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lastRenderedPageBreak/>
              <w:t>Pozițiile pe aur și pozițiile pe OPC-uri tratate ca valută distinctă în conformitate cu articolul 353 alineatul (3) din Regulamentul (UE) nr. 575/2013 se includ pe acest rând.</w:t>
            </w:r>
          </w:p>
        </w:tc>
      </w:tr>
    </w:tbl>
    <w:p w14:paraId="6BA92730" w14:textId="77777777" w:rsidR="000B0B09" w:rsidRPr="004B0EC7" w:rsidRDefault="000B0B09" w:rsidP="008F7B97">
      <w:pPr>
        <w:suppressAutoHyphens/>
        <w:rPr>
          <w:rFonts w:ascii="Times New Roman" w:hAnsi="Times New Roman"/>
          <w:sz w:val="24"/>
        </w:rPr>
      </w:pPr>
    </w:p>
    <w:p w14:paraId="53515718" w14:textId="15BE5B2C"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rFonts w:ascii="Times New Roman" w:hAnsi="Times New Roman"/>
          <w:sz w:val="24"/>
          <w:u w:val="none"/>
        </w:rPr>
        <w:t>5.6.</w:t>
      </w:r>
      <w:r>
        <w:rPr>
          <w:rFonts w:ascii="Times New Roman" w:hAnsi="Times New Roman"/>
          <w:sz w:val="24"/>
          <w:u w:val="none"/>
        </w:rPr>
        <w:tab/>
      </w:r>
      <w:r>
        <w:rPr>
          <w:rFonts w:ascii="Times New Roman" w:hAnsi="Times New Roman"/>
          <w:sz w:val="24"/>
        </w:rPr>
        <w:t>C 23.01 – Riscul de piață: abordarea standardizată simplificată pentru riscul de marfă</w:t>
      </w:r>
      <w:bookmarkEnd w:id="124"/>
      <w:bookmarkEnd w:id="125"/>
      <w:bookmarkEnd w:id="126"/>
      <w:bookmarkEnd w:id="127"/>
      <w:bookmarkEnd w:id="128"/>
      <w:r>
        <w:rPr>
          <w:rFonts w:ascii="Times New Roman" w:hAnsi="Times New Roman"/>
          <w:sz w:val="24"/>
        </w:rPr>
        <w:t xml:space="preserve"> (MKR SSA COM)</w:t>
      </w:r>
      <w:bookmarkEnd w:id="129"/>
      <w:bookmarkEnd w:id="130"/>
    </w:p>
    <w:p w14:paraId="72871AE4" w14:textId="77777777"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rFonts w:ascii="Times New Roman" w:hAnsi="Times New Roman"/>
          <w:sz w:val="24"/>
          <w:u w:val="none"/>
        </w:rPr>
        <w:t>5.6.1.</w:t>
      </w:r>
      <w:r>
        <w:rPr>
          <w:rFonts w:ascii="Times New Roman" w:hAnsi="Times New Roman"/>
          <w:sz w:val="24"/>
          <w:u w:val="none"/>
        </w:rPr>
        <w:tab/>
      </w:r>
      <w:r>
        <w:rPr>
          <w:rFonts w:ascii="Times New Roman" w:hAnsi="Times New Roman"/>
          <w:sz w:val="24"/>
        </w:rPr>
        <w:t>Observații generale</w:t>
      </w:r>
      <w:bookmarkEnd w:id="131"/>
      <w:bookmarkEnd w:id="132"/>
      <w:bookmarkEnd w:id="133"/>
      <w:bookmarkEnd w:id="134"/>
      <w:bookmarkEnd w:id="135"/>
      <w:bookmarkEnd w:id="136"/>
      <w:bookmarkEnd w:id="137"/>
    </w:p>
    <w:p w14:paraId="441FA19A" w14:textId="38802150" w:rsidR="000B0B09" w:rsidRPr="004B0EC7" w:rsidRDefault="008F3052" w:rsidP="008F7B97">
      <w:pPr>
        <w:pStyle w:val="InstructionsText2"/>
        <w:numPr>
          <w:ilvl w:val="0"/>
          <w:numId w:val="0"/>
        </w:numPr>
        <w:suppressAutoHyphens/>
        <w:ind w:left="993"/>
      </w:pPr>
      <w:r w:rsidRPr="004B0EC7">
        <w:fldChar w:fldCharType="begin"/>
      </w:r>
      <w:r w:rsidRPr="004B0EC7">
        <w:instrText>seq paragraphs</w:instrText>
      </w:r>
      <w:r w:rsidRPr="004B0EC7">
        <w:fldChar w:fldCharType="separate"/>
      </w:r>
      <w:r w:rsidR="00771068" w:rsidRPr="004B0EC7">
        <w:t>173</w:t>
      </w:r>
      <w:r w:rsidRPr="004B0EC7">
        <w:fldChar w:fldCharType="end"/>
      </w:r>
      <w:r>
        <w:t>.</w:t>
      </w:r>
      <w:r>
        <w:tab/>
        <w:t xml:space="preserve"> Acest formular prevede furnizarea de informații privind pozițiile pe mărfuri și cerințele de fonduri proprii aferente acestora, tratate conform abordării standardizate.</w:t>
      </w:r>
    </w:p>
    <w:p w14:paraId="0C8765B1" w14:textId="16F4CE7F"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rFonts w:ascii="Times New Roman" w:hAnsi="Times New Roman"/>
          <w:sz w:val="24"/>
          <w:u w:val="none"/>
        </w:rPr>
        <w:t>5.6.2.</w:t>
      </w:r>
      <w:r>
        <w:rPr>
          <w:rFonts w:ascii="Times New Roman" w:hAnsi="Times New Roman"/>
          <w:sz w:val="24"/>
          <w:u w:val="none"/>
        </w:rPr>
        <w:tab/>
      </w:r>
      <w:r>
        <w:rPr>
          <w:rFonts w:ascii="Times New Roman" w:hAnsi="Times New Roman"/>
          <w:sz w:val="24"/>
        </w:rPr>
        <w:t>Instrucțiuni privind anumite poziții</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8F7B97">
            <w:pPr>
              <w:suppressAutoHyphens/>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4B0EC7" w14:paraId="12CECACA" w14:textId="77777777" w:rsidTr="00672D2A">
        <w:tc>
          <w:tcPr>
            <w:tcW w:w="986" w:type="dxa"/>
          </w:tcPr>
          <w:p w14:paraId="6FA50BBC"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TOATE POZIȚIILE (LUNGI ȘI SCURTE)</w:t>
            </w:r>
          </w:p>
          <w:p w14:paraId="4B99A786"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Pozițiile brute lungi/scurte considerate a fi poziții pe aceeași marfă în conformitate cu articolul 357 alineatul (4) din Regulamentul (UE) nr. 575/2013 [a se vedea, de asemenea, articolul 359 alineatul (1) din Regulamentul (UE) nr. 575/2013].</w:t>
            </w:r>
          </w:p>
          <w:p w14:paraId="3E9C7204" w14:textId="77777777"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4AB4396B" w14:textId="77777777" w:rsidTr="00672D2A">
        <w:tc>
          <w:tcPr>
            <w:tcW w:w="986" w:type="dxa"/>
          </w:tcPr>
          <w:p w14:paraId="224657DD"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NETE (LUNGI ȘI SCURTE)</w:t>
            </w:r>
          </w:p>
          <w:p w14:paraId="0B49C3FC"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de-DE"/>
              </w:rPr>
            </w:pPr>
          </w:p>
          <w:p w14:paraId="27F059DD" w14:textId="3BBD58CF" w:rsidR="000B0B09" w:rsidRPr="004B0EC7" w:rsidRDefault="000B0B09" w:rsidP="008F7B97">
            <w:pPr>
              <w:suppressAutoHyphens/>
              <w:autoSpaceDE w:val="0"/>
              <w:autoSpaceDN w:val="0"/>
              <w:adjustRightInd w:val="0"/>
              <w:spacing w:before="0"/>
              <w:rPr>
                <w:rFonts w:ascii="Times New Roman" w:hAnsi="Times New Roman"/>
                <w:sz w:val="24"/>
              </w:rPr>
            </w:pPr>
            <w:r>
              <w:rPr>
                <w:rFonts w:ascii="Times New Roman" w:hAnsi="Times New Roman"/>
                <w:sz w:val="24"/>
              </w:rPr>
              <w:t>Astfel cum sunt definite la articolul 357 alineatul (3) din Regulamentul (UE) nr.</w:t>
            </w:r>
            <w:r w:rsidR="008F7B97">
              <w:rPr>
                <w:rFonts w:ascii="Times New Roman" w:hAnsi="Times New Roman"/>
                <w:sz w:val="24"/>
              </w:rPr>
              <w:t> </w:t>
            </w:r>
            <w:r>
              <w:rPr>
                <w:rFonts w:ascii="Times New Roman" w:hAnsi="Times New Roman"/>
                <w:sz w:val="24"/>
              </w:rPr>
              <w:t xml:space="preserve">575/2013. </w:t>
            </w:r>
          </w:p>
        </w:tc>
      </w:tr>
      <w:tr w:rsidR="000B0B09" w:rsidRPr="004B0EC7" w14:paraId="0A46320C" w14:textId="77777777" w:rsidTr="00672D2A">
        <w:tc>
          <w:tcPr>
            <w:tcW w:w="986" w:type="dxa"/>
          </w:tcPr>
          <w:p w14:paraId="7F0B984E"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CARE FAC OBIECTUL UNEI CERINȚE DE CAPITAL</w:t>
            </w:r>
          </w:p>
          <w:p w14:paraId="55ED580C"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Pozițiile nete care, în conformitate cu diferitele abordări avute în vedere în partea a treia titlul IV capitolul 4 din Regulamentul (UE) nr. 575/2013, sunt supuse unei cerințe de capital.</w:t>
            </w:r>
          </w:p>
          <w:p w14:paraId="762BD2E2"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579AC514"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 ÎNAINTE DE APLICAREA FACTORILOR DE MULTIPLICARE</w:t>
            </w:r>
          </w:p>
          <w:p w14:paraId="545A195F"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8F7B97">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Cerința de fonduri proprii calculată în conformitate cu partea a treia titlul IV capitolul 4 din Regulamentul (UE) nr. 575/2013 pentru orice poziție relevantă, înainte de aplicarea factorului de multiplicare în conformitate cu articolul 325 alineatul (2) din regulamentul respectiv.</w:t>
            </w:r>
          </w:p>
        </w:tc>
      </w:tr>
      <w:tr w:rsidR="000B0B09" w:rsidRPr="004B0EC7" w14:paraId="380AB4E0" w14:textId="77777777" w:rsidTr="00672D2A">
        <w:tc>
          <w:tcPr>
            <w:tcW w:w="986" w:type="dxa"/>
          </w:tcPr>
          <w:p w14:paraId="0EE22EDA" w14:textId="671C9C7F"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4B0EC7" w:rsidRDefault="000B0B09" w:rsidP="008F7B97">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14:paraId="35864C1F" w14:textId="77777777" w:rsidR="000B0B09" w:rsidRPr="004B0EC7" w:rsidRDefault="000B0B09" w:rsidP="008F7B97">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8F7B97">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Articolul 92 alineatul (4) litera (c) din Regulamentul (UE) nr. 575/2013. </w:t>
            </w:r>
          </w:p>
          <w:p w14:paraId="67EADC1A" w14:textId="634950C6" w:rsidR="000B0B09" w:rsidRPr="004B0EC7" w:rsidRDefault="000B0B09" w:rsidP="008F7B97">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Rezultatul multiplicării cerințelor de fonduri proprii cu 12,5 în conformitate cu articolul 92 alineatul (6) litera (b) din Regulamentul (UE) nr. 575/2013 și cu factorul de multiplicare în conformitate cu articolul 325 alineatul (2) litera (c) din regulamentul respectiv.</w:t>
            </w:r>
          </w:p>
        </w:tc>
      </w:tr>
    </w:tbl>
    <w:p w14:paraId="0DC9D0A4" w14:textId="77777777" w:rsidR="000B0B09" w:rsidRPr="004B0EC7" w:rsidRDefault="000B0B09" w:rsidP="008F7B97">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8F7B97">
            <w:pPr>
              <w:suppressAutoHyphens/>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4B0EC7" w14:paraId="3F19FB75" w14:textId="77777777" w:rsidTr="00672D2A">
        <w:tc>
          <w:tcPr>
            <w:tcW w:w="987" w:type="dxa"/>
          </w:tcPr>
          <w:p w14:paraId="62003386"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POZIȚII PE MĂRFURI</w:t>
            </w:r>
          </w:p>
          <w:p w14:paraId="03562626" w14:textId="77777777" w:rsidR="000B0B09" w:rsidRPr="004B0EC7" w:rsidRDefault="000B0B09" w:rsidP="008F7B97">
            <w:pPr>
              <w:suppressAutoHyphens/>
              <w:autoSpaceDE w:val="0"/>
              <w:autoSpaceDN w:val="0"/>
              <w:adjustRightInd w:val="0"/>
              <w:spacing w:before="0" w:after="0"/>
              <w:rPr>
                <w:rFonts w:ascii="Times New Roman" w:hAnsi="Times New Roman"/>
                <w:sz w:val="24"/>
              </w:rPr>
            </w:pPr>
          </w:p>
          <w:p w14:paraId="1B02378E" w14:textId="27789902" w:rsidR="000B0B09" w:rsidRPr="004B0EC7" w:rsidRDefault="000B0B09" w:rsidP="008F7B97">
            <w:pPr>
              <w:suppressAutoHyphens/>
              <w:autoSpaceDE w:val="0"/>
              <w:autoSpaceDN w:val="0"/>
              <w:adjustRightInd w:val="0"/>
              <w:spacing w:before="0"/>
              <w:rPr>
                <w:rFonts w:ascii="Times New Roman" w:hAnsi="Times New Roman"/>
                <w:sz w:val="24"/>
              </w:rPr>
            </w:pPr>
            <w:r>
              <w:rPr>
                <w:rFonts w:ascii="Times New Roman" w:hAnsi="Times New Roman"/>
                <w:sz w:val="24"/>
              </w:rPr>
              <w:t xml:space="preserve">Pozițiile pe mărfuri și cerințele de fonduri proprii aferente acestora pentru riscul de piață calculate în conformitate cu articolul 92 alineatul (4) litera (c) din Regulamentul (UE) nr. 575/2013 și cu partea a treia titlul IV capitolul 4 din regulamentul respectiv </w:t>
            </w:r>
          </w:p>
        </w:tc>
      </w:tr>
      <w:tr w:rsidR="000B0B09" w:rsidRPr="004B0EC7" w14:paraId="216F1AEE" w14:textId="77777777" w:rsidTr="00672D2A">
        <w:tc>
          <w:tcPr>
            <w:tcW w:w="987" w:type="dxa"/>
          </w:tcPr>
          <w:p w14:paraId="62D08C2C"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PE CATEGORII DE MĂRFURI</w:t>
            </w:r>
          </w:p>
          <w:p w14:paraId="56921883"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În scopul raportării, mărfurile sunt grupate în cele patru categorii de mărfuri menționate în tabelul 2 de la articolul 361 din Regulamentul (UE) nr. 575/2013.</w:t>
            </w:r>
          </w:p>
          <w:p w14:paraId="04BB5316" w14:textId="77777777"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ABORDAREA PE BENZI DE SCADENȚĂ</w:t>
            </w:r>
          </w:p>
          <w:p w14:paraId="2C667CB8"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Pozițiile pe mărfuri care fac obiectul abordării pe benzi de scadență menționate la articolul 359 din Regulamentul (UE) nr. 575/2013</w:t>
            </w:r>
          </w:p>
          <w:p w14:paraId="018E7283"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ABORDAREA EXTINSĂ PE BENZI DE SCADENȚĂ</w:t>
            </w:r>
          </w:p>
          <w:p w14:paraId="28E22845"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Pozițiile pe mărfuri care fac obiectul abordării extinse pe benzi de scadență menționate la articolul 361 din Regulamentul (UE) nr. 575/2013</w:t>
            </w:r>
          </w:p>
          <w:p w14:paraId="4CC42EBB"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ABORDARE SIMPLIFICATĂ</w:t>
            </w:r>
          </w:p>
          <w:p w14:paraId="739EF26B"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pe mărfuri care fac obiectul abordării simplificate menționate la articolul 360 din Regulamentul (UE) nr. 575/2013 </w:t>
            </w:r>
          </w:p>
          <w:p w14:paraId="72D24CC9"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CERINȚE SUPLIMENTARE PENTRU OPȚIUNI (ALTE RISCURI DECÂT RISCUL DELTA)</w:t>
            </w:r>
          </w:p>
          <w:p w14:paraId="444B7110" w14:textId="08585130" w:rsidR="000B0B09" w:rsidRPr="004B0EC7" w:rsidRDefault="000B0B09" w:rsidP="008F7B97">
            <w:pPr>
              <w:suppressAutoHyphens/>
              <w:autoSpaceDE w:val="0"/>
              <w:autoSpaceDN w:val="0"/>
              <w:adjustRightInd w:val="0"/>
              <w:rPr>
                <w:rFonts w:ascii="Times New Roman" w:hAnsi="Times New Roman"/>
                <w:sz w:val="24"/>
              </w:rPr>
            </w:pPr>
            <w:r>
              <w:rPr>
                <w:rFonts w:ascii="Times New Roman" w:hAnsi="Times New Roman"/>
                <w:sz w:val="24"/>
              </w:rPr>
              <w:t xml:space="preserve">Articolul 358 alineatul (4) din Regulamentul (UE) nr. 575/2013 </w:t>
            </w:r>
          </w:p>
          <w:p w14:paraId="1D3D5AF7" w14:textId="77777777"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Cerințele suplimentare pentru opțiuni legate de alte riscuri decât riscul delta se raportează prin metoda utilizată pentru calcularea acestuia.</w:t>
            </w:r>
          </w:p>
          <w:p w14:paraId="55D77BA3"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8F7B97">
      <w:pPr>
        <w:suppressAutoHyphens/>
        <w:rPr>
          <w:rFonts w:ascii="Times New Roman" w:hAnsi="Times New Roman"/>
          <w:sz w:val="24"/>
        </w:rPr>
      </w:pPr>
    </w:p>
    <w:p w14:paraId="2B97C384" w14:textId="30A5F32B" w:rsidR="000B0B09" w:rsidRPr="004B0EC7" w:rsidRDefault="00125707" w:rsidP="008F7B97">
      <w:pPr>
        <w:pStyle w:val="Instructionsberschrift2"/>
        <w:numPr>
          <w:ilvl w:val="0"/>
          <w:numId w:val="0"/>
        </w:numPr>
        <w:suppressAutoHyphens/>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rFonts w:ascii="Times New Roman" w:hAnsi="Times New Roman"/>
          <w:sz w:val="24"/>
          <w:u w:val="none"/>
        </w:rPr>
        <w:t>5.7.</w:t>
      </w:r>
      <w:r>
        <w:rPr>
          <w:rFonts w:ascii="Times New Roman" w:hAnsi="Times New Roman"/>
          <w:sz w:val="24"/>
          <w:u w:val="none"/>
        </w:rPr>
        <w:tab/>
      </w:r>
      <w:r>
        <w:rPr>
          <w:rFonts w:ascii="Times New Roman" w:hAnsi="Times New Roman"/>
          <w:sz w:val="24"/>
        </w:rPr>
        <w:t>C 24.00 – Modelul intern de risc de piață</w:t>
      </w:r>
      <w:bookmarkEnd w:id="145"/>
      <w:bookmarkEnd w:id="146"/>
      <w:bookmarkEnd w:id="147"/>
      <w:bookmarkEnd w:id="148"/>
      <w:bookmarkEnd w:id="149"/>
      <w:r w:rsidR="008F7B97">
        <w:rPr>
          <w:rFonts w:ascii="Times New Roman" w:hAnsi="Times New Roman"/>
          <w:sz w:val="24"/>
        </w:rPr>
        <w:t xml:space="preserve"> </w:t>
      </w:r>
      <w:r>
        <w:rPr>
          <w:rFonts w:ascii="Times New Roman" w:hAnsi="Times New Roman"/>
          <w:sz w:val="24"/>
        </w:rPr>
        <w:t>(MKR IM)</w:t>
      </w:r>
      <w:bookmarkEnd w:id="150"/>
      <w:bookmarkEnd w:id="151"/>
    </w:p>
    <w:p w14:paraId="78347ABD" w14:textId="77777777"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rFonts w:ascii="Times New Roman" w:hAnsi="Times New Roman"/>
          <w:sz w:val="24"/>
          <w:u w:val="none"/>
        </w:rPr>
        <w:t>5.7.1.</w:t>
      </w:r>
      <w:r>
        <w:rPr>
          <w:rFonts w:ascii="Times New Roman" w:hAnsi="Times New Roman"/>
          <w:sz w:val="24"/>
          <w:u w:val="none"/>
        </w:rPr>
        <w:tab/>
      </w:r>
      <w:r>
        <w:rPr>
          <w:rFonts w:ascii="Times New Roman" w:hAnsi="Times New Roman"/>
          <w:sz w:val="24"/>
        </w:rPr>
        <w:t>Observații generale</w:t>
      </w:r>
      <w:bookmarkEnd w:id="152"/>
      <w:bookmarkEnd w:id="153"/>
      <w:bookmarkEnd w:id="154"/>
      <w:bookmarkEnd w:id="155"/>
      <w:bookmarkEnd w:id="156"/>
      <w:bookmarkEnd w:id="157"/>
      <w:bookmarkEnd w:id="158"/>
    </w:p>
    <w:p w14:paraId="1055920F" w14:textId="5CFE289B" w:rsidR="000B0B09" w:rsidRPr="004B0EC7" w:rsidRDefault="00CE7221" w:rsidP="008F7B97">
      <w:pPr>
        <w:pStyle w:val="InstructionsText2"/>
        <w:numPr>
          <w:ilvl w:val="0"/>
          <w:numId w:val="0"/>
        </w:numPr>
        <w:suppressAutoHyphens/>
        <w:ind w:left="993"/>
      </w:pPr>
      <w:r w:rsidRPr="004B0EC7">
        <w:fldChar w:fldCharType="begin"/>
      </w:r>
      <w:r w:rsidRPr="004B0EC7">
        <w:instrText xml:space="preserve"> seq paragraphs </w:instrText>
      </w:r>
      <w:r w:rsidRPr="004B0EC7">
        <w:fldChar w:fldCharType="separate"/>
      </w:r>
      <w:r w:rsidR="00771068" w:rsidRPr="004B0EC7">
        <w:t>174</w:t>
      </w:r>
      <w:r w:rsidRPr="004B0EC7">
        <w:fldChar w:fldCharType="end"/>
      </w:r>
      <w:r>
        <w:t>.</w:t>
      </w:r>
      <w:r>
        <w:tab/>
        <w:t xml:space="preserve"> Acest formular prevede o defalcare a valorii VaR și a valorii VaR în situație de criză (sVaR) pe diferite riscuri de piață (datorii, titluri de capital, valutar, marfă) și alte informații relevante pentru calcularea cerințelor de fonduri proprii.</w:t>
      </w:r>
    </w:p>
    <w:p w14:paraId="3DD1046B" w14:textId="4AD05ACF" w:rsidR="000B0B09" w:rsidRPr="004B0EC7" w:rsidRDefault="00CE7221" w:rsidP="008F7B97">
      <w:pPr>
        <w:pStyle w:val="InstructionsText2"/>
        <w:numPr>
          <w:ilvl w:val="0"/>
          <w:numId w:val="0"/>
        </w:numPr>
        <w:suppressAutoHyphens/>
        <w:ind w:left="993"/>
      </w:pPr>
      <w:r w:rsidRPr="004B0EC7">
        <w:fldChar w:fldCharType="begin"/>
      </w:r>
      <w:r w:rsidRPr="004B0EC7">
        <w:instrText xml:space="preserve"> seq paragraphs </w:instrText>
      </w:r>
      <w:r w:rsidRPr="004B0EC7">
        <w:fldChar w:fldCharType="separate"/>
      </w:r>
      <w:r w:rsidR="00771068" w:rsidRPr="004B0EC7">
        <w:t>175</w:t>
      </w:r>
      <w:r w:rsidRPr="004B0EC7">
        <w:fldChar w:fldCharType="end"/>
      </w:r>
      <w:r>
        <w:t>.</w:t>
      </w:r>
      <w:r>
        <w:tab/>
        <w:t xml:space="preserve"> În general, depinde de structura modelului instituțiilor dacă cifrele pentru riscul general și riscul specific pot fi determinate și raportate separat sau numai ca total. Același lucru este valabil și pentru defalcarea VaR/VaR în situație de criză pe </w:t>
      </w:r>
      <w:r>
        <w:lastRenderedPageBreak/>
        <w:t xml:space="preserve">categorii de risc (riscul de rată a dobânzii, riscul de devalorizare a acțiunilor, riscul de marfă și riscul valutar). O instituție poate să nu raporteze aceste defalcări dacă dovedește că raportarea cifrelor respective ar fi nejustificat de împovărătoare. </w:t>
      </w:r>
    </w:p>
    <w:p w14:paraId="16A354D7" w14:textId="38B85B55" w:rsidR="000B0B09" w:rsidRPr="004B0EC7" w:rsidRDefault="00125707" w:rsidP="008F7B97">
      <w:pPr>
        <w:pStyle w:val="Instructionsberschrift2"/>
        <w:numPr>
          <w:ilvl w:val="0"/>
          <w:numId w:val="0"/>
        </w:numPr>
        <w:suppressAutoHyphens/>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rFonts w:ascii="Times New Roman" w:hAnsi="Times New Roman"/>
          <w:sz w:val="24"/>
          <w:u w:val="none"/>
        </w:rPr>
        <w:t>5.7.2.</w:t>
      </w:r>
      <w:r>
        <w:rPr>
          <w:rFonts w:ascii="Times New Roman" w:hAnsi="Times New Roman"/>
          <w:sz w:val="24"/>
          <w:u w:val="none"/>
        </w:rPr>
        <w:tab/>
      </w:r>
      <w:r>
        <w:rPr>
          <w:rFonts w:ascii="Times New Roman" w:hAnsi="Times New Roman"/>
          <w:sz w:val="24"/>
        </w:rPr>
        <w:t>Instrucțiuni privind anumite poziții</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Coloane</w:t>
            </w:r>
          </w:p>
        </w:tc>
      </w:tr>
      <w:tr w:rsidR="000B0B09" w:rsidRPr="004B0EC7" w14:paraId="27C19C3C" w14:textId="77777777" w:rsidTr="00672D2A">
        <w:tc>
          <w:tcPr>
            <w:tcW w:w="993" w:type="dxa"/>
          </w:tcPr>
          <w:p w14:paraId="10AA4817"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4B0EC7" w:rsidRDefault="0016282F"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Valoarea la risc (VaR)</w:t>
            </w:r>
          </w:p>
          <w:p w14:paraId="59F85AD6" w14:textId="77777777" w:rsidR="000B0B09" w:rsidRPr="004B0EC7" w:rsidRDefault="0016282F" w:rsidP="008F7B97">
            <w:pPr>
              <w:suppressAutoHyphens/>
              <w:autoSpaceDE w:val="0"/>
              <w:autoSpaceDN w:val="0"/>
              <w:adjustRightInd w:val="0"/>
              <w:rPr>
                <w:rFonts w:ascii="Times New Roman" w:hAnsi="Times New Roman"/>
                <w:b/>
                <w:bCs/>
                <w:sz w:val="24"/>
                <w:u w:val="single"/>
              </w:rPr>
            </w:pPr>
            <w:r>
              <w:rPr>
                <w:rFonts w:ascii="Times New Roman" w:hAnsi="Times New Roman"/>
                <w:sz w:val="24"/>
              </w:rPr>
              <w:t>VaR înseamnă pierderea maximă potențială care ar rezulta dintr-o variație de preț cu o probabilitate dată pe o perioadă de timp specifică.</w:t>
            </w:r>
          </w:p>
        </w:tc>
      </w:tr>
      <w:tr w:rsidR="000B0B09" w:rsidRPr="004B0EC7" w14:paraId="50B81018" w14:textId="77777777" w:rsidTr="00672D2A">
        <w:tc>
          <w:tcPr>
            <w:tcW w:w="993" w:type="dxa"/>
          </w:tcPr>
          <w:p w14:paraId="49937121"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Factorul de multiplicare (mc) x Media VaR corespunzătoare celor 60 de zile lucrătoare precedente (VaRavg)</w:t>
            </w:r>
          </w:p>
          <w:p w14:paraId="028313DD"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Articolul 364 alineatul (1) litera (a) punctul (ii) și articolul 365 alineatul (1) din Regulamentul (UE) nr. 575/2013 </w:t>
            </w:r>
          </w:p>
          <w:p w14:paraId="34698FA2"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aferent zilei precedente (VaRt-1)</w:t>
            </w:r>
          </w:p>
          <w:p w14:paraId="21BBDC54"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Articolul 364 alineatul (1) litera (a) punctul (i) și articolul 365 alineatul (1) din Regulamentul (UE) nr. 575/2013 </w:t>
            </w:r>
          </w:p>
          <w:p w14:paraId="065DA05D"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în situație de criză</w:t>
            </w:r>
          </w:p>
          <w:p w14:paraId="30D5B348"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8F7B97">
            <w:pPr>
              <w:suppressAutoHyphens/>
              <w:autoSpaceDE w:val="0"/>
              <w:autoSpaceDN w:val="0"/>
              <w:adjustRightInd w:val="0"/>
              <w:spacing w:before="0"/>
              <w:rPr>
                <w:rFonts w:ascii="Times New Roman" w:hAnsi="Times New Roman"/>
                <w:sz w:val="24"/>
              </w:rPr>
            </w:pPr>
            <w:r>
              <w:rPr>
                <w:rFonts w:ascii="Times New Roman" w:hAnsi="Times New Roman"/>
                <w:sz w:val="24"/>
              </w:rPr>
              <w:t>VaR în situație de criză înseamnă pierderea maximă potențială care ar rezulta dintr-o variație de preț cu o probabilitate dată pe o perioadă de timp specifică, obținută prin utilizarea de date de intrare calibrate în raport cu datele istorice dintr-o perioadă continuă de 12 luni de criză financiară relevantă pentru portofoliul instituției.</w:t>
            </w:r>
          </w:p>
        </w:tc>
      </w:tr>
      <w:tr w:rsidR="000B0B09" w:rsidRPr="004B0EC7" w14:paraId="006F4906" w14:textId="77777777" w:rsidTr="00672D2A">
        <w:tc>
          <w:tcPr>
            <w:tcW w:w="993" w:type="dxa"/>
          </w:tcPr>
          <w:p w14:paraId="294AFD20"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Factorul de multiplicare (ms) x Media corespunzătoare celor 60 de zile lucrătoare precedente (SVaRavg)</w:t>
            </w:r>
          </w:p>
          <w:p w14:paraId="17CC7E24" w14:textId="77777777" w:rsidR="000B0B09" w:rsidRPr="004B0EC7" w:rsidRDefault="000B0B09" w:rsidP="008F7B97">
            <w:pPr>
              <w:suppressAutoHyphens/>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8F7B97">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Articolul 364 alineatul (1) litera (b) punctul (ii) și articolul 365 alineatul (1) din Regulamentul (UE) nr. 575/2013</w:t>
            </w:r>
            <w:r>
              <w:rPr>
                <w:rStyle w:val="InstructionsTabelleberschrift"/>
                <w:rFonts w:ascii="Times New Roman" w:hAnsi="Times New Roman"/>
                <w:sz w:val="24"/>
              </w:rPr>
              <w:t xml:space="preserve"> </w:t>
            </w:r>
          </w:p>
          <w:p w14:paraId="4E4677D0" w14:textId="77777777" w:rsidR="000B0B09" w:rsidRPr="004B0EC7" w:rsidRDefault="000B0B09" w:rsidP="008F7B97">
            <w:pPr>
              <w:suppressAutoHyphens/>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 mai recentă valoare disponibilă (SVaRt-1)</w:t>
            </w:r>
          </w:p>
          <w:p w14:paraId="26D70865" w14:textId="77777777" w:rsidR="000B0B09" w:rsidRPr="004B0EC7" w:rsidRDefault="000B0B09" w:rsidP="008F7B97">
            <w:pPr>
              <w:suppressAutoHyphens/>
              <w:autoSpaceDE w:val="0"/>
              <w:autoSpaceDN w:val="0"/>
              <w:adjustRightInd w:val="0"/>
              <w:spacing w:before="0" w:after="0"/>
              <w:rPr>
                <w:rFonts w:ascii="Times New Roman" w:hAnsi="Times New Roman"/>
                <w:sz w:val="24"/>
              </w:rPr>
            </w:pPr>
          </w:p>
          <w:p w14:paraId="2269DF70" w14:textId="67B7CAF8" w:rsidR="000B0B09" w:rsidRPr="004B0EC7" w:rsidRDefault="001B17E6"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Articolul 364 alineatul (1) litera (b) punctul (i) și articolul 365 alineatul (1) din Regulamentul (UE) nr. 575/2013 </w:t>
            </w:r>
          </w:p>
          <w:p w14:paraId="52AD8FDF"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CAPITAL PENTRU RISCURILE DE NERAMBURSARE ȘI DE MIGRARE ADIȚIONALE</w:t>
            </w:r>
          </w:p>
          <w:p w14:paraId="1E7EA146" w14:textId="62573725" w:rsidR="000B0B09" w:rsidRPr="004B0EC7" w:rsidRDefault="0016282F" w:rsidP="008F7B97">
            <w:pPr>
              <w:suppressAutoHyphens/>
              <w:rPr>
                <w:rFonts w:ascii="Times New Roman" w:hAnsi="Times New Roman"/>
                <w:b/>
                <w:bCs/>
                <w:sz w:val="24"/>
                <w:u w:val="single"/>
              </w:rPr>
            </w:pPr>
            <w:r>
              <w:rPr>
                <w:rFonts w:ascii="Times New Roman" w:hAnsi="Times New Roman"/>
                <w:sz w:val="24"/>
              </w:rPr>
              <w:t xml:space="preserve">Cerința de capital pentru riscurile de nerambursare și de migrare adiționale înseamnă pierderea maximă potențială care ar rezulta dintr-o variație de preț legată de riscurile de nerambursare și de migrare calculată în conformitate cu articolul 364 alineatul (2) litera (b) coroborat cu partea a treia titlul IV capitolul 5 secțiunea 4 din Regulamentul (UE) nr. 575/2013. </w:t>
            </w:r>
          </w:p>
        </w:tc>
      </w:tr>
      <w:tr w:rsidR="000B0B09" w:rsidRPr="004B0EC7" w14:paraId="0A8D9874" w14:textId="77777777" w:rsidTr="00672D2A">
        <w:tc>
          <w:tcPr>
            <w:tcW w:w="993" w:type="dxa"/>
          </w:tcPr>
          <w:p w14:paraId="75FBF5CA"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Valoarea medie corespunzătoare unei perioade de 12 săptămâni</w:t>
            </w:r>
          </w:p>
          <w:p w14:paraId="54F95AD4" w14:textId="77777777" w:rsidR="005C14B0" w:rsidRPr="004B0EC7" w:rsidRDefault="005C14B0" w:rsidP="008F7B97">
            <w:pPr>
              <w:suppressAutoHyphens/>
              <w:autoSpaceDE w:val="0"/>
              <w:autoSpaceDN w:val="0"/>
              <w:adjustRightInd w:val="0"/>
              <w:spacing w:before="0" w:after="0"/>
              <w:rPr>
                <w:rFonts w:ascii="Times New Roman" w:hAnsi="Times New Roman"/>
                <w:sz w:val="24"/>
              </w:rPr>
            </w:pPr>
          </w:p>
          <w:p w14:paraId="7D1E5A11" w14:textId="2D0D518D" w:rsidR="005C14B0"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Articolul 364 alineatul (2) litera (b) punctul (ii) coroborat cu partea a treia titlul IV capitolul 5 secțiunea 4 din Regulamentul (UE) nr. 575/2013</w:t>
            </w:r>
          </w:p>
          <w:p w14:paraId="10724354"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69" w:type="dxa"/>
          </w:tcPr>
          <w:p w14:paraId="270A52C5"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 mai recentă valoare</w:t>
            </w:r>
          </w:p>
          <w:p w14:paraId="52161985"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Articolul 364 alineatul (2) litera (b) punctul (i) coroborat cu partea a treia titlul IV capitolul 5 secțiunea 4 din Regulamentul (UE) nr. 575/2013</w:t>
            </w:r>
          </w:p>
          <w:p w14:paraId="401526B6"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CERINȚA DE CAPITAL PENTRU TOATE RISCURILE DE PREȚ PENTRU PORTOFOLIUL DE TRANZACȚIONARE PE BAZĂ DE CORELAȚIE (CTP)</w:t>
            </w:r>
          </w:p>
          <w:p w14:paraId="277A72A9"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PRAGUL MINIM</w:t>
            </w:r>
          </w:p>
          <w:p w14:paraId="08424932" w14:textId="6F00A60B" w:rsidR="000B0B09" w:rsidRPr="004B0EC7" w:rsidRDefault="000B0B09" w:rsidP="008F7B97">
            <w:pPr>
              <w:suppressAutoHyphens/>
              <w:rPr>
                <w:rFonts w:ascii="Times New Roman" w:hAnsi="Times New Roman"/>
                <w:sz w:val="24"/>
              </w:rPr>
            </w:pPr>
            <w:r>
              <w:rPr>
                <w:rFonts w:ascii="Times New Roman" w:hAnsi="Times New Roman"/>
                <w:sz w:val="24"/>
              </w:rPr>
              <w:t>Articolul 364 alineatul (3) litera (c) din Regulamentul (UE) nr. 575/2013</w:t>
            </w:r>
          </w:p>
          <w:p w14:paraId="71FEB01E" w14:textId="7D0B9236"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8 % din cerința de capital care ar fi calculată în conformitate cu articolul 338 alineatul (1) din Regulamentul (UE) nr. 575/2013 pentru toate pozițiile încorporate în cerința de capital «pentru toate riscurile de preț».</w:t>
            </w:r>
            <w:r>
              <w:rPr>
                <w:rFonts w:ascii="Times New Roman" w:hAnsi="Times New Roman"/>
                <w:b/>
                <w:sz w:val="24"/>
                <w:u w:val="single"/>
              </w:rPr>
              <w:t xml:space="preserve"> </w:t>
            </w:r>
          </w:p>
          <w:p w14:paraId="52B76E80"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54D1C24A"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VALOAREA MEDIE CORESPUNZĂTOARE UNEI PERIOADE DE 12</w:t>
            </w:r>
            <w:r w:rsidR="008F7B97">
              <w:rPr>
                <w:rFonts w:ascii="Times New Roman" w:hAnsi="Times New Roman"/>
                <w:b/>
                <w:sz w:val="24"/>
                <w:u w:val="single"/>
              </w:rPr>
              <w:t> </w:t>
            </w:r>
            <w:r>
              <w:rPr>
                <w:rFonts w:ascii="Times New Roman" w:hAnsi="Times New Roman"/>
                <w:b/>
                <w:sz w:val="24"/>
                <w:u w:val="single"/>
              </w:rPr>
              <w:t>SĂPTĂMÂNI ȘI CEA MAI RECENTĂ VALOARE</w:t>
            </w:r>
          </w:p>
          <w:p w14:paraId="244F0E2D" w14:textId="75367C4C" w:rsidR="000B0B09" w:rsidRPr="004B0EC7" w:rsidRDefault="00587E96" w:rsidP="008F7B97">
            <w:pPr>
              <w:suppressAutoHyphens/>
              <w:autoSpaceDE w:val="0"/>
              <w:autoSpaceDN w:val="0"/>
              <w:adjustRightInd w:val="0"/>
              <w:spacing w:after="0"/>
              <w:rPr>
                <w:rFonts w:ascii="Times New Roman" w:hAnsi="Times New Roman"/>
                <w:bCs/>
                <w:sz w:val="24"/>
              </w:rPr>
            </w:pPr>
            <w:r>
              <w:rPr>
                <w:rFonts w:ascii="Times New Roman" w:hAnsi="Times New Roman"/>
                <w:sz w:val="24"/>
              </w:rPr>
              <w:t>Articolul 364 alineatul (3) litera (b) din Regulamentul (UE) nr. 575/2013</w:t>
            </w:r>
          </w:p>
          <w:p w14:paraId="07DFA832" w14:textId="4544A338" w:rsidR="000B0B09" w:rsidRPr="004B0EC7" w:rsidRDefault="000B0B09" w:rsidP="008F7B97">
            <w:pPr>
              <w:suppressAutoHyphens/>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4B0EC7" w:rsidRDefault="000B0B09" w:rsidP="008F7B97">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CEA MAI RECENTĂ VALOARE</w:t>
            </w:r>
          </w:p>
          <w:p w14:paraId="58C3865D" w14:textId="7EBBD50E" w:rsidR="005C14B0" w:rsidRPr="004B0EC7" w:rsidRDefault="00587E96" w:rsidP="008F7B97">
            <w:pPr>
              <w:suppressAutoHyphens/>
              <w:autoSpaceDE w:val="0"/>
              <w:autoSpaceDN w:val="0"/>
              <w:adjustRightInd w:val="0"/>
              <w:spacing w:before="0" w:after="0"/>
              <w:rPr>
                <w:rFonts w:ascii="Times New Roman" w:hAnsi="Times New Roman"/>
                <w:bCs/>
                <w:sz w:val="24"/>
              </w:rPr>
            </w:pPr>
            <w:r>
              <w:rPr>
                <w:rFonts w:ascii="Times New Roman" w:hAnsi="Times New Roman"/>
                <w:sz w:val="24"/>
              </w:rPr>
              <w:t>Articolul 364 alineatul (3) litera (a) din Regulamentul (UE) nr. 575/2013</w:t>
            </w:r>
          </w:p>
          <w:p w14:paraId="60068EED"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CERINȚE DE FONDURI PROPRII</w:t>
            </w:r>
          </w:p>
          <w:p w14:paraId="7122FC14" w14:textId="52CC637D" w:rsidR="000B0B09" w:rsidRPr="004B0EC7" w:rsidRDefault="00BE0363" w:rsidP="008F7B97">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Cerințele de fonduri proprii menționate la articolul 364 din Regulamentul (UE) nr. 575/2013 pentru toți factorii de risc luând în considerare efectele de corespondență, dacă este cazul, precum și riscurile de nerambursare și de migrare adiționale și toate riscurile de preț pentru CTP, dar excluzând cerințele de capital pentru securitizare și instrumente derivate de credit de tipul «n-th-to-default» în conformitate cu articolul 364 alineatul (2) din Regulamentul (UE) nr. 575/2013 </w:t>
            </w:r>
          </w:p>
        </w:tc>
      </w:tr>
      <w:tr w:rsidR="000B0B09" w:rsidRPr="004B0EC7" w14:paraId="52312031" w14:textId="77777777" w:rsidTr="00672D2A">
        <w:tc>
          <w:tcPr>
            <w:tcW w:w="993" w:type="dxa"/>
          </w:tcPr>
          <w:p w14:paraId="79FC26FA"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CUANTUMUL TOTAL AL EXPUNERII LA RISC</w:t>
            </w:r>
          </w:p>
          <w:p w14:paraId="44CC9511"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Articolul 92 alineatul (7) litera (b) din Regulamentul (UE) nr. 575/2013. </w:t>
            </w:r>
          </w:p>
          <w:p w14:paraId="6FD933BD" w14:textId="77777777"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Rezultatul multiplicării cerințelor de fonduri proprii cu 12,5.</w:t>
            </w:r>
          </w:p>
          <w:p w14:paraId="7AA2CA20"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4B0EC7" w:rsidRDefault="000B0B09" w:rsidP="008F7B97">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Numărul de depășiri (în cursul ultimelor 250 de zile lucrătoare)</w:t>
            </w:r>
          </w:p>
          <w:p w14:paraId="28B225BB" w14:textId="3D65F9F7" w:rsidR="00A92CFF" w:rsidRPr="004B0EC7" w:rsidRDefault="000B0B09" w:rsidP="008F7B97">
            <w:pPr>
              <w:suppressAutoHyphens/>
              <w:autoSpaceDE w:val="0"/>
              <w:autoSpaceDN w:val="0"/>
              <w:adjustRightInd w:val="0"/>
              <w:spacing w:before="0"/>
              <w:rPr>
                <w:rFonts w:ascii="Times New Roman" w:hAnsi="Times New Roman"/>
                <w:sz w:val="24"/>
              </w:rPr>
            </w:pPr>
            <w:r>
              <w:rPr>
                <w:rFonts w:ascii="Times New Roman" w:hAnsi="Times New Roman"/>
                <w:sz w:val="24"/>
              </w:rPr>
              <w:t>Menționat la articolul 366 din Regulamentul (UE) nr. 575/2013</w:t>
            </w:r>
          </w:p>
          <w:p w14:paraId="555E37D2" w14:textId="0C3340E4" w:rsidR="000B0B09" w:rsidRPr="004B0EC7" w:rsidRDefault="00A92CFF" w:rsidP="008F7B97">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Se raportează numărul de depășiri pe baza căruia s-a determinat factorul complementar. În cazul în care instituțiile sunt autorizate să excludă anumite depășiri din calculul factorului complementar în conformitate cu articolul 500c din Regulamentul (UE) nr. 575/2013, numărul de depășiri raportate în această coloană nu trebuie să includă depășirile excluse respective.</w:t>
            </w:r>
          </w:p>
        </w:tc>
      </w:tr>
      <w:tr w:rsidR="000B0B09" w:rsidRPr="004B0EC7" w14:paraId="6B35F841" w14:textId="77777777" w:rsidTr="00672D2A">
        <w:tc>
          <w:tcPr>
            <w:tcW w:w="993" w:type="dxa"/>
          </w:tcPr>
          <w:p w14:paraId="2EA668BF"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0150-0160</w:t>
            </w:r>
          </w:p>
        </w:tc>
        <w:tc>
          <w:tcPr>
            <w:tcW w:w="7869" w:type="dxa"/>
          </w:tcPr>
          <w:p w14:paraId="410D2BF2" w14:textId="77777777" w:rsidR="000B0B09" w:rsidRPr="004B0EC7" w:rsidRDefault="000B0B09" w:rsidP="008F7B97">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Factorul de multiplicare al VaR (mc) și factorul de multiplicare al SVaR (ms)</w:t>
            </w:r>
          </w:p>
          <w:p w14:paraId="315BC479" w14:textId="254D1B3C" w:rsidR="005C14B0" w:rsidRPr="004B0EC7" w:rsidRDefault="000B0B09" w:rsidP="008F7B97">
            <w:pPr>
              <w:suppressAutoHyphens/>
              <w:autoSpaceDE w:val="0"/>
              <w:autoSpaceDN w:val="0"/>
              <w:adjustRightInd w:val="0"/>
              <w:spacing w:before="0"/>
              <w:rPr>
                <w:rFonts w:ascii="Times New Roman" w:hAnsi="Times New Roman"/>
                <w:sz w:val="24"/>
              </w:rPr>
            </w:pPr>
            <w:r>
              <w:rPr>
                <w:rFonts w:ascii="Times New Roman" w:hAnsi="Times New Roman"/>
                <w:sz w:val="24"/>
              </w:rPr>
              <w:t>Astfel cum este menționat la articolul 366 din Regulamentul (UE) nr. 575/2013</w:t>
            </w:r>
          </w:p>
          <w:p w14:paraId="288D1C77" w14:textId="1A1A8D50" w:rsidR="00011AFA" w:rsidRPr="004B0EC7" w:rsidRDefault="00011AFA" w:rsidP="008F7B97">
            <w:pPr>
              <w:suppressAutoHyphens/>
              <w:autoSpaceDE w:val="0"/>
              <w:autoSpaceDN w:val="0"/>
              <w:adjustRightInd w:val="0"/>
              <w:spacing w:before="0" w:after="0"/>
              <w:rPr>
                <w:rStyle w:val="InstructionsTabelleberschrift"/>
              </w:rPr>
            </w:pPr>
            <w:r>
              <w:rPr>
                <w:rFonts w:ascii="Times New Roman" w:hAnsi="Times New Roman"/>
                <w:sz w:val="24"/>
              </w:rPr>
              <w:t>Se raportează factorii de multiplicare aplicabili în mod efectiv calculului cerințelor de fonduri proprii; după caz, după aplicarea articolului 500c din Regulamentul (UE) nr. 575/2013.</w:t>
            </w:r>
          </w:p>
          <w:p w14:paraId="4889D826"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BAZA DE CALCUL PENTRU PRAGUL MINIM AL CERINȚEI AFERENTE CTP – POZIȚIILE NETE PONDERATE LUNGI/SCURTE DUPĂ APLICAREA PLAFONULUI</w:t>
            </w:r>
          </w:p>
          <w:p w14:paraId="68C956BE" w14:textId="3FF52305" w:rsidR="00902EFC" w:rsidRPr="004B0EC7" w:rsidRDefault="000B0B09" w:rsidP="008F7B97">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Cuantumul raportat care poate fi utilizat ca bază pentru calculul pragului minim al cerinței de capital pentru toate riscurile de preț în conformitate cu articolul 364 alineatul (3) litera (c) din Regulamentul (UE) nr. 575/2013, ținând seama de marja de apreciere prevăzută la articolul 335 din regulamentul respectiv, care precizează faptul că instituția poate limita produsul dintre pondere și poziția netă la plafonul reprezentat de pierderea maximă posibilă ca urmare a riscului de nerambursare. </w:t>
            </w:r>
          </w:p>
        </w:tc>
      </w:tr>
    </w:tbl>
    <w:p w14:paraId="32116763" w14:textId="77777777" w:rsidR="000B0B09" w:rsidRPr="004B0EC7" w:rsidRDefault="000B0B09" w:rsidP="008F7B97">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8F7B97">
            <w:pPr>
              <w:suppressAutoHyphens/>
              <w:autoSpaceDE w:val="0"/>
              <w:autoSpaceDN w:val="0"/>
              <w:adjustRightInd w:val="0"/>
              <w:spacing w:after="0"/>
              <w:rPr>
                <w:rFonts w:ascii="Times New Roman" w:hAnsi="Times New Roman"/>
                <w:b/>
                <w:sz w:val="24"/>
              </w:rPr>
            </w:pPr>
            <w:r>
              <w:rPr>
                <w:rFonts w:ascii="Times New Roman" w:hAnsi="Times New Roman"/>
                <w:b/>
                <w:sz w:val="24"/>
              </w:rPr>
              <w:t>Rânduri</w:t>
            </w:r>
          </w:p>
        </w:tc>
      </w:tr>
      <w:tr w:rsidR="00E9314A" w:rsidRPr="004B0EC7" w14:paraId="4DAD8BA6" w14:textId="77777777" w:rsidTr="00672D2A">
        <w:tc>
          <w:tcPr>
            <w:tcW w:w="993" w:type="dxa"/>
          </w:tcPr>
          <w:p w14:paraId="2C74563C" w14:textId="77777777" w:rsidR="000B0B09" w:rsidRPr="004B0EC7" w:rsidRDefault="00787733"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POZIȚII TOTALE</w:t>
            </w:r>
          </w:p>
          <w:p w14:paraId="22755B2D"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8F7B97">
            <w:pPr>
              <w:suppressAutoHyphens/>
              <w:autoSpaceDE w:val="0"/>
              <w:autoSpaceDN w:val="0"/>
              <w:adjustRightInd w:val="0"/>
              <w:spacing w:before="0"/>
              <w:rPr>
                <w:rFonts w:ascii="Times New Roman" w:hAnsi="Times New Roman"/>
                <w:sz w:val="24"/>
              </w:rPr>
            </w:pPr>
            <w:r>
              <w:rPr>
                <w:rFonts w:ascii="Times New Roman" w:hAnsi="Times New Roman"/>
                <w:sz w:val="24"/>
              </w:rPr>
              <w:t>Corespunde părții din riscul de poziție, riscul valutar și riscul de marfă menționate la articolul 363 alineatul (1) din Regulamentul (UE) nr. 575/2013 în legătură cu factorii de risc specificați la articolul 367 alineatul (2) din regulamentul respectiv.</w:t>
            </w:r>
          </w:p>
          <w:p w14:paraId="6F18E4FF" w14:textId="77777777" w:rsidR="005C14B0"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În ceea ce privește coloanele 0030-0060 (VAR și VAR în situație de criză), cifrele de pe rândul Total nu sunt egale cu defalcarea cifrelor pentru VaR/VaR în situație de criză aferente componentelor de risc relevante.</w:t>
            </w:r>
          </w:p>
          <w:p w14:paraId="29160AEA"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DE DATORIE TRANZACȚIONATE</w:t>
            </w:r>
          </w:p>
          <w:p w14:paraId="7EB08097" w14:textId="464B7176" w:rsidR="000B0B09" w:rsidRPr="004B0EC7" w:rsidRDefault="000B0B09" w:rsidP="008F7B97">
            <w:pPr>
              <w:suppressAutoHyphens/>
              <w:autoSpaceDE w:val="0"/>
              <w:autoSpaceDN w:val="0"/>
              <w:adjustRightInd w:val="0"/>
              <w:rPr>
                <w:rFonts w:ascii="Times New Roman" w:hAnsi="Times New Roman"/>
                <w:sz w:val="24"/>
              </w:rPr>
            </w:pPr>
            <w:r>
              <w:rPr>
                <w:rFonts w:ascii="Times New Roman" w:hAnsi="Times New Roman"/>
                <w:sz w:val="24"/>
              </w:rPr>
              <w:t>Corespunde părții din riscul de poziție menționate la articolul 363 alineatul (1) din Regulamentul (UE) nr. 575/2013, aferentă factorilor de risc de rată a dobânzii specificați la articolul 367 alineatul (2) litera (a) din regulamentul respectiv.</w:t>
            </w:r>
          </w:p>
        </w:tc>
      </w:tr>
      <w:tr w:rsidR="00E9314A" w:rsidRPr="004B0EC7" w14:paraId="72F66455" w14:textId="77777777" w:rsidTr="00672D2A">
        <w:tc>
          <w:tcPr>
            <w:tcW w:w="993" w:type="dxa"/>
          </w:tcPr>
          <w:p w14:paraId="0890877A" w14:textId="77777777" w:rsidR="000B0B09" w:rsidRPr="004B0EC7" w:rsidRDefault="00787733"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DE DATORIE TRANZACȚIONATE – RISC GENERAL</w:t>
            </w:r>
          </w:p>
          <w:p w14:paraId="326F4D54" w14:textId="3D6EBE1B" w:rsidR="000B0B09" w:rsidRPr="004B0EC7" w:rsidRDefault="000B0B09" w:rsidP="008F7B97">
            <w:pPr>
              <w:suppressAutoHyphens/>
              <w:autoSpaceDE w:val="0"/>
              <w:autoSpaceDN w:val="0"/>
              <w:adjustRightInd w:val="0"/>
              <w:rPr>
                <w:rFonts w:ascii="Times New Roman" w:hAnsi="Times New Roman"/>
                <w:sz w:val="24"/>
              </w:rPr>
            </w:pPr>
            <w:r>
              <w:rPr>
                <w:rFonts w:ascii="Times New Roman" w:hAnsi="Times New Roman"/>
                <w:sz w:val="24"/>
              </w:rPr>
              <w:t xml:space="preserve">Componenta de risc general menționată la articolul 362 din Regulamentul (UE) nr. 575/2013 </w:t>
            </w:r>
          </w:p>
        </w:tc>
      </w:tr>
      <w:tr w:rsidR="00E9314A" w:rsidRPr="004B0EC7" w14:paraId="7683899C" w14:textId="77777777" w:rsidTr="00672D2A">
        <w:tc>
          <w:tcPr>
            <w:tcW w:w="993" w:type="dxa"/>
          </w:tcPr>
          <w:p w14:paraId="71740265" w14:textId="77777777" w:rsidR="000B0B09" w:rsidRPr="004B0EC7" w:rsidRDefault="00787733"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INSTRUMENTE DE DATORIE TRANZACȚIONATE – RISC SPECIFIC</w:t>
            </w:r>
          </w:p>
          <w:p w14:paraId="545744BD"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8F7B97">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Componenta de risc specific menționată la articolul 362 din Regulamentul (UE) nr. 575/2013 </w:t>
            </w:r>
          </w:p>
        </w:tc>
      </w:tr>
      <w:tr w:rsidR="00E9314A" w:rsidRPr="004B0EC7" w14:paraId="71D5C884" w14:textId="77777777" w:rsidTr="00672D2A">
        <w:tc>
          <w:tcPr>
            <w:tcW w:w="993" w:type="dxa"/>
          </w:tcPr>
          <w:p w14:paraId="2F431F5B" w14:textId="77777777" w:rsidR="000B0B09" w:rsidRPr="004B0EC7" w:rsidRDefault="00787733"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TITLURI DE CAPITAL</w:t>
            </w:r>
          </w:p>
          <w:p w14:paraId="2CB5AD43" w14:textId="77777777" w:rsidR="000B0B09" w:rsidRPr="004B0EC7" w:rsidRDefault="000B0B09" w:rsidP="008F7B97">
            <w:pPr>
              <w:suppressAutoHyphens/>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Corespunde părții din riscul de poziție menționate la articolul 363 alineatul (1) din Regulamentul (UE) nr. 575/2013, aferentă factorilor de risc de devalorizare a acțiunilor specificați la articolul 367 alineatul (2) litera (c) din regulamentul respectiv. </w:t>
            </w:r>
          </w:p>
          <w:p w14:paraId="25BA2979"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903" w:type="dxa"/>
          </w:tcPr>
          <w:p w14:paraId="40CEA49F"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TITLURI DE CAPITAL – RISC GENERAL</w:t>
            </w:r>
          </w:p>
          <w:p w14:paraId="528E3DA1" w14:textId="2D4BA326" w:rsidR="000B0B09" w:rsidRPr="004B0EC7" w:rsidRDefault="000B0B09" w:rsidP="008F7B97">
            <w:pPr>
              <w:suppressAutoHyphens/>
              <w:autoSpaceDE w:val="0"/>
              <w:autoSpaceDN w:val="0"/>
              <w:adjustRightInd w:val="0"/>
              <w:rPr>
                <w:rFonts w:ascii="Times New Roman" w:hAnsi="Times New Roman"/>
                <w:b/>
                <w:bCs/>
                <w:sz w:val="24"/>
                <w:u w:val="single"/>
              </w:rPr>
            </w:pPr>
            <w:r>
              <w:rPr>
                <w:rFonts w:ascii="Times New Roman" w:hAnsi="Times New Roman"/>
                <w:sz w:val="24"/>
              </w:rPr>
              <w:t>Componenta de risc general menționată la articolul 362 din Regulamentul (UE) nr. 575/2013</w:t>
            </w:r>
          </w:p>
        </w:tc>
      </w:tr>
      <w:tr w:rsidR="00E9314A" w:rsidRPr="004B0EC7" w14:paraId="76BBEE88" w14:textId="77777777" w:rsidTr="00672D2A">
        <w:tc>
          <w:tcPr>
            <w:tcW w:w="993" w:type="dxa"/>
          </w:tcPr>
          <w:p w14:paraId="4D46D495" w14:textId="77777777" w:rsidR="000B0B09" w:rsidRPr="004B0EC7" w:rsidRDefault="00787733"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TITLURI DE CAPITAL – RISC SPECIFIC</w:t>
            </w:r>
          </w:p>
          <w:p w14:paraId="53D03CDE" w14:textId="49BEAF03" w:rsidR="000B0B09" w:rsidRPr="004B0EC7" w:rsidRDefault="000B0B09" w:rsidP="008F7B97">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Componenta de risc specific menționată la articolul 362 din Regulamentul (UE) nr. 575/2013 </w:t>
            </w:r>
          </w:p>
        </w:tc>
      </w:tr>
      <w:tr w:rsidR="00E9314A" w:rsidRPr="004B0EC7" w14:paraId="572477D3" w14:textId="77777777" w:rsidTr="00672D2A">
        <w:tc>
          <w:tcPr>
            <w:tcW w:w="993" w:type="dxa"/>
          </w:tcPr>
          <w:p w14:paraId="22BAC81A" w14:textId="77777777" w:rsidR="000B0B09" w:rsidRPr="004B0EC7" w:rsidRDefault="00787733"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RISCUL VALUTAR</w:t>
            </w:r>
          </w:p>
          <w:p w14:paraId="4A2A62FE" w14:textId="098C8392" w:rsidR="000B0B09" w:rsidRPr="004B0EC7" w:rsidRDefault="000B0B09" w:rsidP="008F7B97">
            <w:pPr>
              <w:suppressAutoHyphens/>
              <w:autoSpaceDE w:val="0"/>
              <w:autoSpaceDN w:val="0"/>
              <w:adjustRightInd w:val="0"/>
              <w:rPr>
                <w:rFonts w:ascii="Times New Roman" w:hAnsi="Times New Roman"/>
                <w:b/>
                <w:bCs/>
                <w:sz w:val="24"/>
                <w:u w:val="single"/>
              </w:rPr>
            </w:pPr>
            <w:r>
              <w:rPr>
                <w:rFonts w:ascii="Times New Roman" w:hAnsi="Times New Roman"/>
                <w:sz w:val="24"/>
              </w:rPr>
              <w:t>Articolul 363 alineatul (1) și articolul 367 alineatul (2) litera (b) din Regulamentul (UE) nr. 575/2013</w:t>
            </w:r>
          </w:p>
        </w:tc>
      </w:tr>
      <w:tr w:rsidR="00E9314A" w:rsidRPr="004B0EC7" w14:paraId="0161DCDD" w14:textId="77777777" w:rsidTr="00672D2A">
        <w:tc>
          <w:tcPr>
            <w:tcW w:w="993" w:type="dxa"/>
          </w:tcPr>
          <w:p w14:paraId="2D15B36B" w14:textId="77777777" w:rsidR="000B0B09" w:rsidRPr="004B0EC7" w:rsidRDefault="00787733"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RISCUL DE MARFĂ</w:t>
            </w:r>
          </w:p>
          <w:p w14:paraId="341E16EA" w14:textId="56B929B0" w:rsidR="000B0B09" w:rsidRPr="004B0EC7" w:rsidRDefault="000B0B09" w:rsidP="008F7B97">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Articolul 363 alineatul (1) și articolul 367 alineatul (2) litera (d) din Regulamentul (UE) nr. 575/2013 </w:t>
            </w:r>
          </w:p>
        </w:tc>
      </w:tr>
      <w:tr w:rsidR="00E9314A" w:rsidRPr="004B0EC7" w14:paraId="5676DEE7" w14:textId="77777777" w:rsidTr="00672D2A">
        <w:tc>
          <w:tcPr>
            <w:tcW w:w="993" w:type="dxa"/>
          </w:tcPr>
          <w:p w14:paraId="2262B333" w14:textId="77777777" w:rsidR="000B0B09" w:rsidRPr="004B0EC7" w:rsidRDefault="00787733"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VALOAREA TOTALĂ A RISCULUI GENERAL</w:t>
            </w:r>
          </w:p>
          <w:p w14:paraId="62293AE5" w14:textId="77777777" w:rsidR="005C14B0" w:rsidRPr="004B0EC7" w:rsidRDefault="005C14B0" w:rsidP="008F7B97">
            <w:pPr>
              <w:suppressAutoHyphens/>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Riscul de piață cauzat de variațiile generale ale pieței instrumentelor de datorie tranzacționate, ale pieței titlurilor de capital, ale pieței valutare și ale pieței mărfurilor. VaR pentru riscul general aferent tuturor factorilor de risc (ținând cont de efectele de corelație, dacă este cazul). </w:t>
            </w:r>
          </w:p>
          <w:p w14:paraId="47CB1F26" w14:textId="77777777" w:rsidR="005C14B0" w:rsidRPr="004B0EC7" w:rsidRDefault="005C14B0" w:rsidP="008F7B97">
            <w:pPr>
              <w:suppressAutoHyphens/>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8F7B97">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4B0EC7" w:rsidRDefault="000B0B09" w:rsidP="008F7B97">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VALOAREA TOTALĂ A RISCULUI SPECIFIC</w:t>
            </w:r>
          </w:p>
          <w:p w14:paraId="319F28D3" w14:textId="77777777" w:rsidR="000B0B09" w:rsidRPr="002A677E" w:rsidRDefault="000B0B09" w:rsidP="008F7B97">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Componenta riscului specific pentru instrumentele de datorie tranzacționate și titlurile de capital. VaR pentru riscul specific aferent titlurilor de capital și instrumentelor de datorie tranzacționate din portofoliul de tranzacționare (ținând cont de efectele de corelație, dacă este cazul).</w:t>
            </w:r>
          </w:p>
        </w:tc>
      </w:tr>
    </w:tbl>
    <w:p w14:paraId="23397501" w14:textId="77777777" w:rsidR="00724589" w:rsidRPr="002A677E" w:rsidRDefault="00724589" w:rsidP="008F7B97">
      <w:pPr>
        <w:suppressAutoHyphens/>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w:t>
    </w:r>
    <w:r w:rsidR="008F3052">
      <w:rPr>
        <w:rFonts w:ascii="Times New Roman" w:hAnsi="Times New Roman"/>
        <w:sz w:val="20"/>
      </w:rPr>
      <w:t>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Regulamentul delegat (UE) nr. 525/2014 al Comisiei din 12 martie 2014 de completare a Regulamentului (UE) nr. 575/2013 al Parlamentului European și al Consiliului cu privire la standardele tehnice de reglementare pentru definirea pieței (JO L 148, 20.5.2014, p. 15)</w:t>
      </w:r>
      <w:r>
        <w:rPr>
          <w:rFonts w:ascii="Times New Roman" w:hAnsi="Times New Roman"/>
          <w:i/>
          <w:sz w:val="20"/>
        </w:rPr>
        <w:t>.</w:t>
      </w:r>
    </w:p>
  </w:footnote>
  <w:footnote w:id="3">
    <w:p w14:paraId="018474C7" w14:textId="77777777" w:rsidR="00C3070C" w:rsidRPr="00A11C6E" w:rsidRDefault="00C3070C">
      <w:pPr>
        <w:pStyle w:val="FootnoteText"/>
      </w:pPr>
      <w:r>
        <w:rPr>
          <w:rStyle w:val="FootnoteReference"/>
        </w:rPr>
        <w:footnoteRef/>
      </w:r>
      <w:r>
        <w:t xml:space="preserve"> Regulamentul de punere în aplicare (UE) nr. 945/2014 al Comisiei din 4 septembrie 2014 de stabilire a unor standarde tehnice de punere în aplicare cu privire la indicii relevanți cu o diversificare corespunzătoare în conformitate cu Regulamentul (UE) nr. 575/2013 al Parlamentului European și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Utilizare curentă 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Utilizare curentă A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Utilizare curentă 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00D"/>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B97"/>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5E28"/>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ro-RO"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5046"/>
    <w:rPr>
      <w:rFonts w:ascii="Verdana" w:hAnsi="Verdana" w:cs="Times New Roman"/>
      <w:b/>
      <w:sz w:val="24"/>
      <w:szCs w:val="24"/>
      <w:u w:val="single"/>
      <w:lang w:val="ro-RO"/>
    </w:rPr>
  </w:style>
  <w:style w:type="character" w:customStyle="1" w:styleId="Heading3Char">
    <w:name w:val="Heading 3 Char"/>
    <w:aliases w:val="Title 2 Char"/>
    <w:uiPriority w:val="99"/>
    <w:locked/>
    <w:rsid w:val="00884FEB"/>
    <w:rPr>
      <w:rFonts w:cs="Times New Roman"/>
      <w:sz w:val="24"/>
      <w:szCs w:val="24"/>
      <w:lang w:val="ro-RO"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ro-RO"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ro-RO"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ro-RO"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ro-RO"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E6DC2B-0454-42E5-93C2-7994BF8A5FEE}"/>
</file>

<file path=customXml/itemProps2.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C9D8732D-68BE-4618-AF70-8C6846EB9E66}">
  <ds:schemaRefs>
    <ds:schemaRef ds:uri="http://schemas.microsoft.com/sharepoint/v3/contenttype/forms"/>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22</Pages>
  <Words>7120</Words>
  <Characters>42086</Characters>
  <Application>Microsoft Office Word</Application>
  <DocSecurity>0</DocSecurity>
  <Lines>1078</Lines>
  <Paragraphs>491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POPOVICI Ioana (DGT)</cp:lastModifiedBy>
  <cp:revision>4</cp:revision>
  <dcterms:created xsi:type="dcterms:W3CDTF">2024-06-19T18:18:00Z</dcterms:created>
  <dcterms:modified xsi:type="dcterms:W3CDTF">2025-01-23T10:11:00Z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2025-01-23T10:11:34Z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8b6f7048-858d-410f-ac0b-6474b0da20ac</vt:lpwstr>
  </property>
  <property fmtid="{D5CDD505-2E9C-101B-9397-08002B2CF9AE}" pid="9" name="MSIP_Label_6bd9ddd1-4d20-43f6-abfa-fc3c07406f94_ContentBits">
    <vt:lpwstr>0</vt:lpwstr>
  </property>
</Properties>
</file>